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E341" w14:textId="3CCAD6C8" w:rsidR="0063175F" w:rsidRDefault="00D25E0A" w:rsidP="0063175F">
      <w:pPr>
        <w:spacing w:after="490" w:line="265" w:lineRule="auto"/>
        <w:ind w:left="21"/>
        <w:jc w:val="center"/>
        <w:rPr>
          <w:b/>
          <w:sz w:val="28"/>
          <w:szCs w:val="28"/>
        </w:rPr>
      </w:pPr>
      <w:r>
        <w:rPr>
          <w:b/>
          <w:sz w:val="28"/>
          <w:szCs w:val="28"/>
        </w:rPr>
        <w:t>Timely Administration post-TURBT (</w:t>
      </w:r>
      <w:proofErr w:type="spellStart"/>
      <w:r>
        <w:rPr>
          <w:b/>
          <w:sz w:val="28"/>
          <w:szCs w:val="28"/>
        </w:rPr>
        <w:t>TApT</w:t>
      </w:r>
      <w:proofErr w:type="spellEnd"/>
      <w:r>
        <w:rPr>
          <w:b/>
          <w:sz w:val="28"/>
          <w:szCs w:val="28"/>
        </w:rPr>
        <w:t>)</w:t>
      </w:r>
      <w:r w:rsidR="004333BC">
        <w:rPr>
          <w:b/>
          <w:sz w:val="28"/>
          <w:szCs w:val="28"/>
        </w:rPr>
        <w:t xml:space="preserve"> </w:t>
      </w:r>
    </w:p>
    <w:p w14:paraId="425EB21E" w14:textId="641D7566" w:rsidR="0032679F" w:rsidRPr="006F76A2" w:rsidRDefault="00D25E0A" w:rsidP="006F76A2">
      <w:pPr>
        <w:spacing w:after="490" w:line="265" w:lineRule="auto"/>
        <w:ind w:left="21"/>
        <w:jc w:val="center"/>
        <w:rPr>
          <w:b/>
          <w:sz w:val="28"/>
          <w:szCs w:val="28"/>
        </w:rPr>
      </w:pPr>
      <w:r>
        <w:rPr>
          <w:b/>
          <w:sz w:val="28"/>
          <w:szCs w:val="28"/>
        </w:rPr>
        <w:t>Quality Improvement Collaborative Details</w:t>
      </w:r>
    </w:p>
    <w:p w14:paraId="58918F96" w14:textId="2EAFEBCD" w:rsidR="0032679F" w:rsidRPr="00C26841" w:rsidRDefault="0032679F" w:rsidP="00C26841">
      <w:pPr>
        <w:pStyle w:val="Heading1"/>
      </w:pPr>
    </w:p>
    <w:p w14:paraId="3FD2DE49" w14:textId="3BE4001E" w:rsidR="00463109" w:rsidRDefault="00463109" w:rsidP="00AC57D3">
      <w:pPr>
        <w:rPr>
          <w:spacing w:val="2"/>
        </w:rPr>
      </w:pPr>
      <w:r>
        <w:br/>
      </w:r>
      <w:bookmarkStart w:id="0" w:name="_Hlk212197262"/>
      <w:r w:rsidR="00D32CA2">
        <w:rPr>
          <w:spacing w:val="2"/>
        </w:rPr>
        <w:t xml:space="preserve">Timely </w:t>
      </w:r>
      <w:r w:rsidR="00EA46F3">
        <w:rPr>
          <w:spacing w:val="2"/>
        </w:rPr>
        <w:t>administration</w:t>
      </w:r>
      <w:r w:rsidR="000E3E3E">
        <w:rPr>
          <w:spacing w:val="2"/>
        </w:rPr>
        <w:t xml:space="preserve"> of IVC</w:t>
      </w:r>
      <w:r w:rsidR="00EA46F3">
        <w:rPr>
          <w:spacing w:val="2"/>
        </w:rPr>
        <w:t xml:space="preserve"> </w:t>
      </w:r>
      <w:r w:rsidR="008D06FD">
        <w:rPr>
          <w:spacing w:val="2"/>
        </w:rPr>
        <w:t>post TURBT</w:t>
      </w:r>
      <w:r w:rsidR="003F691C">
        <w:rPr>
          <w:spacing w:val="2"/>
        </w:rPr>
        <w:t xml:space="preserve"> </w:t>
      </w:r>
      <w:r w:rsidR="008D06FD">
        <w:rPr>
          <w:spacing w:val="2"/>
        </w:rPr>
        <w:t>is a</w:t>
      </w:r>
      <w:r w:rsidR="00EA46F3">
        <w:rPr>
          <w:spacing w:val="2"/>
        </w:rPr>
        <w:t xml:space="preserve"> </w:t>
      </w:r>
      <w:r w:rsidRPr="00463109">
        <w:rPr>
          <w:spacing w:val="2"/>
        </w:rPr>
        <w:t>national quality improvement (QI) project sponsored by ACS Cancer Programs beginning February 202</w:t>
      </w:r>
      <w:r w:rsidR="008D06FD">
        <w:rPr>
          <w:spacing w:val="2"/>
        </w:rPr>
        <w:t>6</w:t>
      </w:r>
      <w:r w:rsidRPr="00463109">
        <w:rPr>
          <w:spacing w:val="2"/>
        </w:rPr>
        <w:t xml:space="preserve">. The project </w:t>
      </w:r>
      <w:r w:rsidR="008D06FD">
        <w:rPr>
          <w:spacing w:val="2"/>
        </w:rPr>
        <w:t>will</w:t>
      </w:r>
      <w:r w:rsidRPr="00463109">
        <w:rPr>
          <w:spacing w:val="2"/>
        </w:rPr>
        <w:t xml:space="preserve"> aid and assist programs in identifying areas for improvement in compliance</w:t>
      </w:r>
      <w:r w:rsidR="003613FD">
        <w:rPr>
          <w:spacing w:val="2"/>
        </w:rPr>
        <w:t xml:space="preserve"> related to NCDB quality measure BLCT1</w:t>
      </w:r>
      <w:bookmarkEnd w:id="0"/>
      <w:r w:rsidR="00C16179">
        <w:rPr>
          <w:spacing w:val="2"/>
        </w:rPr>
        <w:t xml:space="preserve">: For patients with low grade Ta bladder cancer undergoing transurethral resection of bladder tumor, intravesical chemotherapy is </w:t>
      </w:r>
      <w:r w:rsidR="005D74F4">
        <w:rPr>
          <w:spacing w:val="2"/>
        </w:rPr>
        <w:t>initiated</w:t>
      </w:r>
      <w:r w:rsidR="00C16179">
        <w:rPr>
          <w:spacing w:val="2"/>
        </w:rPr>
        <w:t xml:space="preserve"> within 24 hours of the </w:t>
      </w:r>
      <w:proofErr w:type="gramStart"/>
      <w:r w:rsidR="00B75B86">
        <w:rPr>
          <w:spacing w:val="2"/>
        </w:rPr>
        <w:t>procedure, or</w:t>
      </w:r>
      <w:proofErr w:type="gramEnd"/>
      <w:r w:rsidR="00C16179" w:rsidRPr="00B75B86">
        <w:rPr>
          <w:spacing w:val="2"/>
        </w:rPr>
        <w:t xml:space="preserve"> recommended.</w:t>
      </w:r>
      <w:r w:rsidR="00C16179">
        <w:rPr>
          <w:spacing w:val="2"/>
        </w:rPr>
        <w:t xml:space="preserve"> </w:t>
      </w:r>
    </w:p>
    <w:p w14:paraId="4457ED4E" w14:textId="77777777" w:rsidR="00463109" w:rsidRPr="00463109" w:rsidRDefault="00463109" w:rsidP="00AC57D3"/>
    <w:p w14:paraId="663A8BB4" w14:textId="25915393" w:rsidR="00AC57D3" w:rsidRPr="00D23722" w:rsidRDefault="00AC57D3" w:rsidP="00AC57D3">
      <w:pPr>
        <w:rPr>
          <w:b/>
          <w:bCs/>
        </w:rPr>
      </w:pPr>
      <w:r w:rsidRPr="00D23722">
        <w:rPr>
          <w:b/>
          <w:bCs/>
        </w:rPr>
        <w:t xml:space="preserve">The </w:t>
      </w:r>
      <w:r w:rsidR="00196D34">
        <w:rPr>
          <w:b/>
          <w:bCs/>
        </w:rPr>
        <w:t>goal</w:t>
      </w:r>
      <w:r w:rsidRPr="00D23722">
        <w:rPr>
          <w:b/>
          <w:bCs/>
        </w:rPr>
        <w:t xml:space="preserve"> of this </w:t>
      </w:r>
      <w:r w:rsidR="009F6DA0">
        <w:rPr>
          <w:b/>
          <w:bCs/>
        </w:rPr>
        <w:t>project</w:t>
      </w:r>
      <w:r w:rsidRPr="00D23722">
        <w:rPr>
          <w:b/>
          <w:bCs/>
        </w:rPr>
        <w:t xml:space="preserve"> is to:</w:t>
      </w:r>
    </w:p>
    <w:p w14:paraId="0D6511B6" w14:textId="603EE9A2"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 xml:space="preserve">Improve the quality of cancer care and patient outcomes by accomplishing </w:t>
      </w:r>
      <w:r w:rsidR="00A24C66">
        <w:rPr>
          <w:rFonts w:eastAsia="Times New Roman"/>
          <w:spacing w:val="2"/>
        </w:rPr>
        <w:t xml:space="preserve">delivery of </w:t>
      </w:r>
      <w:r w:rsidR="00B4148E">
        <w:rPr>
          <w:rFonts w:eastAsia="Times New Roman"/>
          <w:spacing w:val="2"/>
        </w:rPr>
        <w:t>intravesical</w:t>
      </w:r>
      <w:r w:rsidR="004763BA">
        <w:rPr>
          <w:rFonts w:eastAsia="Times New Roman"/>
          <w:spacing w:val="2"/>
        </w:rPr>
        <w:t xml:space="preserve"> chemotherapy within 24 hours of the procedure</w:t>
      </w:r>
    </w:p>
    <w:p w14:paraId="7965338D"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Assist programs to identify root cause challenges in achieving compliance</w:t>
      </w:r>
    </w:p>
    <w:p w14:paraId="3A77B085" w14:textId="21A39A9B"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 xml:space="preserve">Develop a standardized way for programs to assess and monitor their compliance </w:t>
      </w:r>
    </w:p>
    <w:p w14:paraId="1CBBA161"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Identify and implement successful and sustainable solutions</w:t>
      </w:r>
    </w:p>
    <w:p w14:paraId="652ACF84" w14:textId="146B5A4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 xml:space="preserve">Support participating programs to achieve &gt; </w:t>
      </w:r>
      <w:r w:rsidR="004763BA">
        <w:rPr>
          <w:rFonts w:eastAsia="Times New Roman"/>
          <w:spacing w:val="2"/>
        </w:rPr>
        <w:t xml:space="preserve">a </w:t>
      </w:r>
      <w:r w:rsidR="00C0490E">
        <w:rPr>
          <w:rFonts w:eastAsia="Times New Roman"/>
          <w:spacing w:val="2"/>
        </w:rPr>
        <w:t>20% increase of individual baseline</w:t>
      </w:r>
      <w:r w:rsidRPr="00463109">
        <w:rPr>
          <w:rFonts w:eastAsia="Times New Roman"/>
          <w:spacing w:val="2"/>
        </w:rPr>
        <w:t xml:space="preserve"> </w:t>
      </w:r>
    </w:p>
    <w:p w14:paraId="18917C82" w14:textId="77777777" w:rsidR="00A97F73" w:rsidRDefault="00A97F73" w:rsidP="006F76A2">
      <w:pPr>
        <w:ind w:left="0"/>
        <w:rPr>
          <w:b/>
          <w:bCs/>
        </w:rPr>
      </w:pPr>
    </w:p>
    <w:p w14:paraId="5A10B766" w14:textId="086D654B" w:rsidR="006F76A2" w:rsidRDefault="006F76A2" w:rsidP="003F685D">
      <w:pPr>
        <w:pStyle w:val="Heading1"/>
        <w:ind w:left="21" w:right="78" w:firstLine="0"/>
      </w:pPr>
      <w:r>
        <w:t>Why is this important?</w:t>
      </w:r>
    </w:p>
    <w:p w14:paraId="6D7D64A5" w14:textId="41BDF95B" w:rsidR="00A835D6" w:rsidRPr="00011D66" w:rsidRDefault="00A835D6" w:rsidP="0005100D">
      <w:r w:rsidRPr="00A835D6">
        <w:t>Bladder cancer is the sixth most diagnosed malignancy, with most patients presenting with non–muscle</w:t>
      </w:r>
      <w:r w:rsidR="00080073">
        <w:t>-</w:t>
      </w:r>
      <w:r w:rsidRPr="00011D66">
        <w:t>invasive disease.1,2 Management of non–muscle-invasive bladder cancer (NMIBC) is challenging due to its</w:t>
      </w:r>
      <w:r w:rsidR="0005100D" w:rsidRPr="00011D66">
        <w:t xml:space="preserve"> </w:t>
      </w:r>
      <w:r w:rsidRPr="00011D66">
        <w:t>high recurrence rates, significant surveillance burden, and potential for progression. Multiple randomized</w:t>
      </w:r>
      <w:r w:rsidR="0005100D" w:rsidRPr="00011D66">
        <w:t xml:space="preserve"> </w:t>
      </w:r>
      <w:r w:rsidRPr="00011D66">
        <w:t>controlled trials have demonstrated the benefits of intravesical chemotherapy (IVC) instillation following</w:t>
      </w:r>
      <w:r w:rsidR="0005100D" w:rsidRPr="00011D66">
        <w:t xml:space="preserve"> </w:t>
      </w:r>
      <w:r w:rsidRPr="00011D66">
        <w:t>transurethral resection of bladder tumor (TURBT). 3-6 Messing et al. reported significantly lower recurrence</w:t>
      </w:r>
      <w:r w:rsidR="0005100D" w:rsidRPr="00011D66">
        <w:t xml:space="preserve"> </w:t>
      </w:r>
      <w:r w:rsidRPr="00011D66">
        <w:t>rates in patients who received postoperative gemcitabine after TURBT for suspected low-grade NMIBC.3</w:t>
      </w:r>
    </w:p>
    <w:p w14:paraId="0A43F3BB" w14:textId="7D421D66" w:rsidR="00A835D6" w:rsidRPr="00011D66" w:rsidRDefault="00A835D6" w:rsidP="00A71560">
      <w:pPr>
        <w:spacing w:line="240" w:lineRule="auto"/>
      </w:pPr>
      <w:r w:rsidRPr="00011D66">
        <w:t xml:space="preserve">Similar findings have been observed in other RCTs evaluating </w:t>
      </w:r>
      <w:proofErr w:type="spellStart"/>
      <w:r w:rsidRPr="00011D66">
        <w:t>epirubicin</w:t>
      </w:r>
      <w:proofErr w:type="spellEnd"/>
      <w:r w:rsidRPr="00011D66">
        <w:t xml:space="preserve"> and mitomycin. 4-6 A 2013 meta</w:t>
      </w:r>
      <w:r w:rsidR="00A71560" w:rsidRPr="00011D66">
        <w:t>-</w:t>
      </w:r>
      <w:r w:rsidRPr="00011D66">
        <w:t>analysis</w:t>
      </w:r>
      <w:r w:rsidR="00A71560" w:rsidRPr="00011D66">
        <w:t xml:space="preserve"> </w:t>
      </w:r>
      <w:r w:rsidRPr="00011D66">
        <w:t>reported a 13% reduction in recurrence, while another found that a single postoperative dose of IVC</w:t>
      </w:r>
      <w:r w:rsidR="00A71560" w:rsidRPr="00011D66">
        <w:t xml:space="preserve"> </w:t>
      </w:r>
      <w:r w:rsidRPr="00011D66">
        <w:t>prolonged the recurrence-free interval by 38% and resulted in a 12% reduction in early cancer recurrence.7,8</w:t>
      </w:r>
      <w:r w:rsidR="00A71560" w:rsidRPr="00011D66">
        <w:t xml:space="preserve"> </w:t>
      </w:r>
      <w:r w:rsidRPr="00011D66">
        <w:t>Given the robust Level 1 evidence supporting the use of single-dose intravesical chemotherapy after TURBT,</w:t>
      </w:r>
      <w:r w:rsidR="00A71560" w:rsidRPr="00011D66">
        <w:t xml:space="preserve"> </w:t>
      </w:r>
      <w:r w:rsidRPr="00011D66">
        <w:t>major cancer care organizations—including the American Urological Association (AUA) and the National</w:t>
      </w:r>
      <w:r w:rsidR="00A71560" w:rsidRPr="00011D66">
        <w:t xml:space="preserve"> </w:t>
      </w:r>
      <w:r w:rsidRPr="00011D66">
        <w:t>Comprehensive Cancer Network (NCCN)—recommend routine postoperative instillation of IVC in appropriately</w:t>
      </w:r>
      <w:r w:rsidR="00A71560" w:rsidRPr="00011D66">
        <w:t xml:space="preserve"> </w:t>
      </w:r>
      <w:r w:rsidRPr="00011D66">
        <w:t>selected patients.9,10</w:t>
      </w:r>
    </w:p>
    <w:p w14:paraId="41B491C1" w14:textId="77777777" w:rsidR="00011D66" w:rsidRPr="00011D66" w:rsidRDefault="00011D66" w:rsidP="00011D66"/>
    <w:p w14:paraId="7E86983B" w14:textId="267F2767" w:rsidR="007E46F1" w:rsidRPr="007E46F1" w:rsidRDefault="00A835D6" w:rsidP="00F14761">
      <w:pPr>
        <w:spacing w:line="240" w:lineRule="auto"/>
      </w:pPr>
      <w:r w:rsidRPr="00011D66">
        <w:lastRenderedPageBreak/>
        <w:t>Despite strong evidence and guideline recommendations, compliance rates among urologists remain low,</w:t>
      </w:r>
      <w:r w:rsidR="00A71560" w:rsidRPr="00011D66">
        <w:t xml:space="preserve"> </w:t>
      </w:r>
      <w:r w:rsidRPr="00011D66">
        <w:t>ranging from 0.33% to 28.4%.11-13 The reasons for this low compliance are multifactorial; however, one study</w:t>
      </w:r>
      <w:r w:rsidR="00A71560" w:rsidRPr="00011D66">
        <w:t xml:space="preserve"> </w:t>
      </w:r>
      <w:r w:rsidRPr="00011D66">
        <w:t>identified workflow implementation issues and provider concerns regarding toxicity as key contributing</w:t>
      </w:r>
      <w:r w:rsidR="00A71560" w:rsidRPr="00011D66">
        <w:t xml:space="preserve"> </w:t>
      </w:r>
      <w:r w:rsidRPr="00011D66">
        <w:t>factors.14 Efforts</w:t>
      </w:r>
      <w:r w:rsidRPr="00A835D6">
        <w:t xml:space="preserve"> to increase utilization are ongoing, with the American College of Surgeons’ Commission on</w:t>
      </w:r>
      <w:r w:rsidR="00A71560">
        <w:t xml:space="preserve"> </w:t>
      </w:r>
      <w:r w:rsidRPr="00A835D6">
        <w:t>Cancer (CoC)</w:t>
      </w:r>
      <w:r w:rsidR="00F14761">
        <w:t xml:space="preserve"> </w:t>
      </w:r>
      <w:r w:rsidRPr="00A835D6">
        <w:t>designating the</w:t>
      </w:r>
      <w:r w:rsidR="00F14761">
        <w:t xml:space="preserve"> </w:t>
      </w:r>
      <w:r w:rsidRPr="00A835D6">
        <w:t>administration of intravesical chemotherapy after TURBT as a CoC Quality Measure (QM). The establishment</w:t>
      </w:r>
      <w:r w:rsidR="00F14761">
        <w:t xml:space="preserve"> </w:t>
      </w:r>
      <w:r w:rsidRPr="00A835D6">
        <w:t>of postop chemo after TURBT as a CoC QM presents an opportunity that this activity is now abstracted at all</w:t>
      </w:r>
      <w:r w:rsidR="00F14761">
        <w:t xml:space="preserve"> </w:t>
      </w:r>
      <w:r w:rsidRPr="00A835D6">
        <w:t>CoC institutions (~70% of cancer care in the US) as part of their required tumor registrar infrastructure and</w:t>
      </w:r>
      <w:r w:rsidR="00F14761">
        <w:t xml:space="preserve"> </w:t>
      </w:r>
      <w:r w:rsidRPr="00A835D6">
        <w:t>available through NCDB as well as within institutional Cancer Committees.</w:t>
      </w:r>
    </w:p>
    <w:p w14:paraId="313CC54D" w14:textId="543E7AAB" w:rsidR="002B1130" w:rsidRDefault="002B1130" w:rsidP="00362DB0">
      <w:pPr>
        <w:pStyle w:val="Heading1"/>
        <w:ind w:left="21" w:right="78" w:firstLine="0"/>
      </w:pPr>
      <w:r>
        <w:t>Who should participate?</w:t>
      </w:r>
    </w:p>
    <w:p w14:paraId="39870A72" w14:textId="7A43834F" w:rsidR="001346E4" w:rsidRDefault="000A6179" w:rsidP="001346E4">
      <w:r>
        <w:t xml:space="preserve">Programs </w:t>
      </w:r>
      <w:proofErr w:type="gramStart"/>
      <w:r>
        <w:t>interested</w:t>
      </w:r>
      <w:proofErr w:type="gramEnd"/>
      <w:r>
        <w:t xml:space="preserve"> in</w:t>
      </w:r>
      <w:r w:rsidR="005B1B44">
        <w:t xml:space="preserve"> improving systems</w:t>
      </w:r>
      <w:r w:rsidR="005337CA">
        <w:t xml:space="preserve"> and </w:t>
      </w:r>
      <w:r w:rsidR="005D75C6">
        <w:t xml:space="preserve">workflows </w:t>
      </w:r>
      <w:r w:rsidR="003061E1">
        <w:t>and want</w:t>
      </w:r>
      <w:r w:rsidR="005337CA">
        <w:t xml:space="preserve"> to implement innovative solutions </w:t>
      </w:r>
      <w:r w:rsidR="003061E1">
        <w:t xml:space="preserve">in addressing </w:t>
      </w:r>
      <w:r w:rsidR="009706F0">
        <w:t xml:space="preserve">quality measure </w:t>
      </w:r>
      <w:r w:rsidR="007542DB">
        <w:t>BLCT1.</w:t>
      </w:r>
    </w:p>
    <w:p w14:paraId="45FFCA6C" w14:textId="2D26EE85" w:rsidR="001358AF" w:rsidRPr="00B4549D" w:rsidRDefault="001358AF" w:rsidP="00B4549D">
      <w:pPr>
        <w:pStyle w:val="ListParagraph"/>
        <w:numPr>
          <w:ilvl w:val="0"/>
          <w:numId w:val="20"/>
        </w:numPr>
        <w:rPr>
          <w:rFonts w:ascii="Arial" w:hAnsi="Arial" w:cs="Arial"/>
        </w:rPr>
      </w:pPr>
      <w:r w:rsidRPr="00B4549D">
        <w:rPr>
          <w:rFonts w:ascii="Arial" w:hAnsi="Arial" w:cs="Arial"/>
        </w:rPr>
        <w:t>Programs must have a pharmacy on site or access</w:t>
      </w:r>
      <w:r w:rsidR="00DC55C1" w:rsidRPr="00B4549D">
        <w:rPr>
          <w:rFonts w:ascii="Arial" w:hAnsi="Arial" w:cs="Arial"/>
        </w:rPr>
        <w:t xml:space="preserve"> and ability to provide</w:t>
      </w:r>
      <w:r w:rsidRPr="00B4549D">
        <w:rPr>
          <w:rFonts w:ascii="Arial" w:hAnsi="Arial" w:cs="Arial"/>
        </w:rPr>
        <w:t xml:space="preserve"> </w:t>
      </w:r>
      <w:r w:rsidR="00DC55C1" w:rsidRPr="00B4549D">
        <w:rPr>
          <w:rFonts w:ascii="Arial" w:hAnsi="Arial" w:cs="Arial"/>
        </w:rPr>
        <w:t xml:space="preserve">intravesical </w:t>
      </w:r>
      <w:r w:rsidRPr="00B4549D">
        <w:rPr>
          <w:rFonts w:ascii="Arial" w:hAnsi="Arial" w:cs="Arial"/>
        </w:rPr>
        <w:t>chemotherap</w:t>
      </w:r>
      <w:r w:rsidR="00DC55C1" w:rsidRPr="00B4549D">
        <w:rPr>
          <w:rFonts w:ascii="Arial" w:hAnsi="Arial" w:cs="Arial"/>
        </w:rPr>
        <w:t xml:space="preserve">y </w:t>
      </w:r>
      <w:proofErr w:type="gramStart"/>
      <w:r w:rsidR="00DC55C1" w:rsidRPr="00B4549D">
        <w:rPr>
          <w:rFonts w:ascii="Arial" w:hAnsi="Arial" w:cs="Arial"/>
        </w:rPr>
        <w:t>instillation</w:t>
      </w:r>
      <w:proofErr w:type="gramEnd"/>
      <w:r w:rsidR="00DC55C1" w:rsidRPr="00B4549D">
        <w:rPr>
          <w:rFonts w:ascii="Arial" w:hAnsi="Arial" w:cs="Arial"/>
        </w:rPr>
        <w:t xml:space="preserve"> with gemcitabine or mitomycin. </w:t>
      </w:r>
    </w:p>
    <w:p w14:paraId="32B2F1EB" w14:textId="1945CDCF" w:rsidR="00FD21FE" w:rsidRPr="00B4549D" w:rsidRDefault="00FD21FE" w:rsidP="00B4549D">
      <w:pPr>
        <w:pStyle w:val="ListParagraph"/>
        <w:numPr>
          <w:ilvl w:val="0"/>
          <w:numId w:val="20"/>
        </w:numPr>
        <w:rPr>
          <w:rFonts w:ascii="Arial" w:hAnsi="Arial" w:cs="Arial"/>
        </w:rPr>
      </w:pPr>
      <w:r w:rsidRPr="00B4549D">
        <w:rPr>
          <w:rFonts w:ascii="Arial" w:hAnsi="Arial" w:cs="Arial"/>
        </w:rPr>
        <w:t xml:space="preserve">Programs must have completed at least </w:t>
      </w:r>
      <w:r w:rsidR="000D4B1E">
        <w:rPr>
          <w:rFonts w:ascii="Arial" w:hAnsi="Arial" w:cs="Arial"/>
        </w:rPr>
        <w:t>10</w:t>
      </w:r>
      <w:r w:rsidRPr="00B4549D">
        <w:rPr>
          <w:rFonts w:ascii="Arial" w:hAnsi="Arial" w:cs="Arial"/>
        </w:rPr>
        <w:t xml:space="preserve"> eligi</w:t>
      </w:r>
      <w:r w:rsidR="00B4549D" w:rsidRPr="00B4549D">
        <w:rPr>
          <w:rFonts w:ascii="Arial" w:hAnsi="Arial" w:cs="Arial"/>
        </w:rPr>
        <w:t>ble</w:t>
      </w:r>
      <w:r w:rsidRPr="00B4549D">
        <w:rPr>
          <w:rFonts w:ascii="Arial" w:hAnsi="Arial" w:cs="Arial"/>
        </w:rPr>
        <w:t xml:space="preserve"> cases</w:t>
      </w:r>
      <w:r w:rsidR="00B4549D" w:rsidRPr="00B4549D">
        <w:rPr>
          <w:rFonts w:ascii="Arial" w:hAnsi="Arial" w:cs="Arial"/>
        </w:rPr>
        <w:t xml:space="preserve"> for the BLCT1 measure</w:t>
      </w:r>
      <w:r w:rsidRPr="00B4549D">
        <w:rPr>
          <w:rFonts w:ascii="Arial" w:hAnsi="Arial" w:cs="Arial"/>
        </w:rPr>
        <w:t xml:space="preserve"> in the 2024 calendar year</w:t>
      </w:r>
    </w:p>
    <w:p w14:paraId="586F7246" w14:textId="7DD88729" w:rsidR="00B4549D" w:rsidRPr="00B4549D" w:rsidRDefault="00B4549D" w:rsidP="00B4549D">
      <w:pPr>
        <w:pStyle w:val="ListParagraph"/>
        <w:numPr>
          <w:ilvl w:val="0"/>
          <w:numId w:val="20"/>
        </w:numPr>
        <w:rPr>
          <w:rFonts w:ascii="Arial" w:hAnsi="Arial" w:cs="Arial"/>
        </w:rPr>
      </w:pPr>
      <w:r w:rsidRPr="00B4549D">
        <w:rPr>
          <w:rFonts w:ascii="Arial" w:hAnsi="Arial" w:cs="Arial"/>
        </w:rPr>
        <w:t xml:space="preserve">Programs must be </w:t>
      </w:r>
      <w:r w:rsidR="000D4B1E">
        <w:rPr>
          <w:rFonts w:ascii="Arial" w:hAnsi="Arial" w:cs="Arial"/>
        </w:rPr>
        <w:t>willing to abstract a subset of</w:t>
      </w:r>
      <w:r w:rsidRPr="00B4549D">
        <w:rPr>
          <w:rFonts w:ascii="Arial" w:hAnsi="Arial" w:cs="Arial"/>
        </w:rPr>
        <w:t xml:space="preserve"> data </w:t>
      </w:r>
      <w:r w:rsidR="000D4B1E">
        <w:rPr>
          <w:rFonts w:ascii="Arial" w:hAnsi="Arial" w:cs="Arial"/>
        </w:rPr>
        <w:t xml:space="preserve">for patients that meet criteria for this measure </w:t>
      </w:r>
      <w:r w:rsidRPr="00B4549D">
        <w:rPr>
          <w:rFonts w:ascii="Arial" w:hAnsi="Arial" w:cs="Arial"/>
        </w:rPr>
        <w:t xml:space="preserve">into RCRS within </w:t>
      </w:r>
      <w:r w:rsidR="00E85E49">
        <w:rPr>
          <w:rFonts w:ascii="Arial" w:hAnsi="Arial" w:cs="Arial"/>
        </w:rPr>
        <w:t>three</w:t>
      </w:r>
      <w:r w:rsidRPr="00B4549D">
        <w:rPr>
          <w:rFonts w:ascii="Arial" w:hAnsi="Arial" w:cs="Arial"/>
        </w:rPr>
        <w:t xml:space="preserve"> month</w:t>
      </w:r>
      <w:r w:rsidR="000D4B1E">
        <w:rPr>
          <w:rFonts w:ascii="Arial" w:hAnsi="Arial" w:cs="Arial"/>
        </w:rPr>
        <w:t>s (</w:t>
      </w:r>
      <w:r w:rsidR="00E85E49">
        <w:rPr>
          <w:rFonts w:ascii="Arial" w:hAnsi="Arial" w:cs="Arial"/>
        </w:rPr>
        <w:t>9</w:t>
      </w:r>
      <w:r w:rsidR="000D4B1E">
        <w:rPr>
          <w:rFonts w:ascii="Arial" w:hAnsi="Arial" w:cs="Arial"/>
        </w:rPr>
        <w:t xml:space="preserve">0 days). </w:t>
      </w:r>
    </w:p>
    <w:p w14:paraId="348F858E" w14:textId="635716AA" w:rsidR="0032679F" w:rsidRPr="00E02F09" w:rsidRDefault="00305F97">
      <w:pPr>
        <w:spacing w:after="244"/>
        <w:ind w:left="-5" w:right="1151"/>
        <w:rPr>
          <w:bCs/>
          <w:u w:val="single"/>
        </w:rPr>
      </w:pPr>
      <w:r w:rsidRPr="00E02F09">
        <w:rPr>
          <w:bCs/>
          <w:u w:val="single"/>
        </w:rPr>
        <w:t xml:space="preserve">We strongly recommend </w:t>
      </w:r>
      <w:r w:rsidR="00A54D76" w:rsidRPr="00E02F09">
        <w:rPr>
          <w:bCs/>
          <w:u w:val="single"/>
        </w:rPr>
        <w:t>you form a core QI team that fulfills the following roles:</w:t>
      </w:r>
    </w:p>
    <w:p w14:paraId="564EF943" w14:textId="29A7AB12" w:rsidR="0070262A" w:rsidRPr="0032666E" w:rsidRDefault="00166C0F" w:rsidP="008A6BEA">
      <w:pPr>
        <w:pStyle w:val="ListParagraph"/>
        <w:numPr>
          <w:ilvl w:val="0"/>
          <w:numId w:val="9"/>
        </w:numPr>
        <w:spacing w:after="244"/>
        <w:ind w:right="1151"/>
        <w:rPr>
          <w:rFonts w:ascii="Arial" w:hAnsi="Arial" w:cs="Arial"/>
          <w:bCs/>
        </w:rPr>
      </w:pPr>
      <w:r w:rsidRPr="00DC7F13">
        <w:rPr>
          <w:rFonts w:ascii="Arial" w:hAnsi="Arial" w:cs="Arial"/>
          <w:bCs/>
        </w:rPr>
        <w:t>Physician</w:t>
      </w:r>
      <w:r w:rsidR="0070262A" w:rsidRPr="00DC7F13">
        <w:rPr>
          <w:rFonts w:ascii="Arial" w:hAnsi="Arial" w:cs="Arial"/>
          <w:bCs/>
        </w:rPr>
        <w:t xml:space="preserve"> champion: </w:t>
      </w:r>
      <w:r w:rsidR="008A6BEA" w:rsidRPr="008A6BEA">
        <w:rPr>
          <w:rFonts w:ascii="Arial" w:hAnsi="Arial" w:cs="Arial"/>
          <w:bCs/>
        </w:rPr>
        <w:t xml:space="preserve">Physician with knowledge of the project that acts as a conduit between the QI team and leadership, </w:t>
      </w:r>
      <w:r w:rsidR="007F12EE">
        <w:rPr>
          <w:rFonts w:ascii="Arial" w:hAnsi="Arial" w:cs="Arial"/>
          <w:bCs/>
        </w:rPr>
        <w:t>urologist</w:t>
      </w:r>
      <w:r w:rsidR="001F78B2">
        <w:rPr>
          <w:rFonts w:ascii="Arial" w:hAnsi="Arial" w:cs="Arial"/>
          <w:bCs/>
        </w:rPr>
        <w:t xml:space="preserve">, </w:t>
      </w:r>
      <w:r w:rsidR="001F78B2" w:rsidRPr="0032666E">
        <w:rPr>
          <w:rFonts w:ascii="Arial" w:hAnsi="Arial" w:cs="Arial"/>
          <w:bCs/>
        </w:rPr>
        <w:t xml:space="preserve">and pharmacy </w:t>
      </w:r>
    </w:p>
    <w:p w14:paraId="64DF71F8" w14:textId="400B2974" w:rsidR="003C3F3B" w:rsidRDefault="00B60377" w:rsidP="003C3F3B">
      <w:pPr>
        <w:pStyle w:val="ListParagraph"/>
        <w:numPr>
          <w:ilvl w:val="0"/>
          <w:numId w:val="9"/>
        </w:numPr>
        <w:spacing w:after="244"/>
        <w:ind w:right="1151"/>
        <w:rPr>
          <w:rFonts w:ascii="Arial" w:hAnsi="Arial" w:cs="Arial"/>
          <w:bCs/>
        </w:rPr>
      </w:pPr>
      <w:r>
        <w:rPr>
          <w:rFonts w:ascii="Arial" w:hAnsi="Arial" w:cs="Arial"/>
          <w:bCs/>
        </w:rPr>
        <w:t xml:space="preserve">Clinician project </w:t>
      </w:r>
      <w:proofErr w:type="gramStart"/>
      <w:r>
        <w:rPr>
          <w:rFonts w:ascii="Arial" w:hAnsi="Arial" w:cs="Arial"/>
          <w:bCs/>
        </w:rPr>
        <w:t>leader</w:t>
      </w:r>
      <w:r w:rsidR="00166C0F" w:rsidRPr="00DC7F13">
        <w:rPr>
          <w:rFonts w:ascii="Arial" w:hAnsi="Arial" w:cs="Arial"/>
          <w:bCs/>
        </w:rPr>
        <w:t>:</w:t>
      </w:r>
      <w:proofErr w:type="gramEnd"/>
      <w:r w:rsidR="00A54D76" w:rsidRPr="00DC7F13">
        <w:rPr>
          <w:rFonts w:ascii="Arial" w:hAnsi="Arial" w:cs="Arial"/>
          <w:bCs/>
        </w:rPr>
        <w:t xml:space="preserve"> </w:t>
      </w:r>
      <w:r w:rsidR="00E02F09" w:rsidRPr="00DC7F13">
        <w:rPr>
          <w:rFonts w:ascii="Arial" w:hAnsi="Arial" w:cs="Arial"/>
          <w:bCs/>
        </w:rPr>
        <w:t xml:space="preserve">supports the </w:t>
      </w:r>
      <w:r w:rsidR="001F78B2" w:rsidRPr="00DC7F13">
        <w:rPr>
          <w:rFonts w:ascii="Arial" w:hAnsi="Arial" w:cs="Arial"/>
          <w:bCs/>
        </w:rPr>
        <w:t>day-to-day</w:t>
      </w:r>
      <w:r w:rsidR="00E02F09" w:rsidRPr="00DC7F13">
        <w:rPr>
          <w:rFonts w:ascii="Arial" w:hAnsi="Arial" w:cs="Arial"/>
          <w:bCs/>
        </w:rPr>
        <w:t xml:space="preserve"> activities of the QI project</w:t>
      </w:r>
      <w:r w:rsidR="008A6BEA">
        <w:rPr>
          <w:rFonts w:ascii="Arial" w:hAnsi="Arial" w:cs="Arial"/>
          <w:bCs/>
        </w:rPr>
        <w:t>. Communicates project status with internal and external stakeholders.</w:t>
      </w:r>
    </w:p>
    <w:p w14:paraId="73F98995" w14:textId="20F352C5" w:rsidR="008A6BEA" w:rsidRPr="008A6BEA" w:rsidRDefault="00B83257" w:rsidP="008A6BEA">
      <w:pPr>
        <w:pStyle w:val="ListParagraph"/>
        <w:numPr>
          <w:ilvl w:val="0"/>
          <w:numId w:val="9"/>
        </w:numPr>
        <w:spacing w:after="244"/>
        <w:ind w:right="1151"/>
        <w:rPr>
          <w:rFonts w:ascii="Arial" w:hAnsi="Arial" w:cs="Arial"/>
          <w:bCs/>
        </w:rPr>
      </w:pPr>
      <w:r>
        <w:rPr>
          <w:rFonts w:ascii="Arial" w:hAnsi="Arial" w:cs="Arial"/>
          <w:bCs/>
        </w:rPr>
        <w:t>Oncology Data Specialists</w:t>
      </w:r>
      <w:r w:rsidR="004C4165">
        <w:rPr>
          <w:rFonts w:ascii="Arial" w:hAnsi="Arial" w:cs="Arial"/>
          <w:bCs/>
        </w:rPr>
        <w:t xml:space="preserve"> or </w:t>
      </w:r>
      <w:r w:rsidR="006630CD">
        <w:rPr>
          <w:rFonts w:ascii="Arial" w:hAnsi="Arial" w:cs="Arial"/>
          <w:bCs/>
        </w:rPr>
        <w:t>similar</w:t>
      </w:r>
      <w:r w:rsidR="008A6BEA" w:rsidRPr="00DC7F13">
        <w:rPr>
          <w:rFonts w:ascii="Arial" w:hAnsi="Arial" w:cs="Arial"/>
          <w:bCs/>
        </w:rPr>
        <w:t xml:space="preserve">: a dedicated person to </w:t>
      </w:r>
      <w:proofErr w:type="gramStart"/>
      <w:r w:rsidR="008A6BEA" w:rsidRPr="00DC7F13">
        <w:rPr>
          <w:rFonts w:ascii="Arial" w:hAnsi="Arial" w:cs="Arial"/>
          <w:bCs/>
        </w:rPr>
        <w:t>analyze</w:t>
      </w:r>
      <w:proofErr w:type="gramEnd"/>
      <w:r w:rsidR="008A6BEA" w:rsidRPr="00DC7F13">
        <w:rPr>
          <w:rFonts w:ascii="Arial" w:hAnsi="Arial" w:cs="Arial"/>
          <w:bCs/>
        </w:rPr>
        <w:t xml:space="preserve">, </w:t>
      </w:r>
      <w:proofErr w:type="gramStart"/>
      <w:r w:rsidR="008A6BEA" w:rsidRPr="00DC7F13">
        <w:rPr>
          <w:rFonts w:ascii="Arial" w:hAnsi="Arial" w:cs="Arial"/>
          <w:bCs/>
        </w:rPr>
        <w:t>interpret</w:t>
      </w:r>
      <w:proofErr w:type="gramEnd"/>
      <w:r w:rsidR="008A6BEA" w:rsidRPr="00DC7F13">
        <w:rPr>
          <w:rFonts w:ascii="Arial" w:hAnsi="Arial" w:cs="Arial"/>
          <w:bCs/>
        </w:rPr>
        <w:t xml:space="preserve">, and </w:t>
      </w:r>
      <w:proofErr w:type="gramStart"/>
      <w:r w:rsidR="008A6BEA" w:rsidRPr="00DC7F13">
        <w:rPr>
          <w:rFonts w:ascii="Arial" w:hAnsi="Arial" w:cs="Arial"/>
          <w:bCs/>
        </w:rPr>
        <w:t>submit</w:t>
      </w:r>
      <w:proofErr w:type="gramEnd"/>
      <w:r w:rsidR="008A6BEA" w:rsidRPr="00DC7F13">
        <w:rPr>
          <w:rFonts w:ascii="Arial" w:hAnsi="Arial" w:cs="Arial"/>
          <w:bCs/>
        </w:rPr>
        <w:t xml:space="preserve"> data</w:t>
      </w:r>
    </w:p>
    <w:p w14:paraId="157E9974" w14:textId="109264A6" w:rsidR="0032666E" w:rsidRDefault="0032666E" w:rsidP="00DC7F13">
      <w:pPr>
        <w:pStyle w:val="ListParagraph"/>
        <w:numPr>
          <w:ilvl w:val="0"/>
          <w:numId w:val="9"/>
        </w:numPr>
        <w:spacing w:after="244"/>
        <w:ind w:right="1151"/>
        <w:rPr>
          <w:rFonts w:ascii="Arial" w:hAnsi="Arial" w:cs="Arial"/>
          <w:bCs/>
        </w:rPr>
      </w:pPr>
      <w:r>
        <w:rPr>
          <w:rFonts w:ascii="Arial" w:hAnsi="Arial" w:cs="Arial"/>
          <w:bCs/>
        </w:rPr>
        <w:t>Nursing staff member</w:t>
      </w:r>
      <w:r w:rsidR="004C4165">
        <w:rPr>
          <w:rFonts w:ascii="Arial" w:hAnsi="Arial" w:cs="Arial"/>
          <w:bCs/>
        </w:rPr>
        <w:t xml:space="preserve">: may provide support </w:t>
      </w:r>
      <w:proofErr w:type="gramStart"/>
      <w:r w:rsidR="004C4165">
        <w:rPr>
          <w:rFonts w:ascii="Arial" w:hAnsi="Arial" w:cs="Arial"/>
          <w:bCs/>
        </w:rPr>
        <w:t>pre or</w:t>
      </w:r>
      <w:proofErr w:type="gramEnd"/>
      <w:r w:rsidR="004C4165">
        <w:rPr>
          <w:rFonts w:ascii="Arial" w:hAnsi="Arial" w:cs="Arial"/>
          <w:bCs/>
        </w:rPr>
        <w:t xml:space="preserve"> post op and </w:t>
      </w:r>
      <w:proofErr w:type="gramStart"/>
      <w:r w:rsidR="004C4165">
        <w:rPr>
          <w:rFonts w:ascii="Arial" w:hAnsi="Arial" w:cs="Arial"/>
          <w:bCs/>
        </w:rPr>
        <w:t>understands</w:t>
      </w:r>
      <w:proofErr w:type="gramEnd"/>
      <w:r w:rsidR="004C4165">
        <w:rPr>
          <w:rFonts w:ascii="Arial" w:hAnsi="Arial" w:cs="Arial"/>
          <w:bCs/>
        </w:rPr>
        <w:t xml:space="preserve"> communication channels</w:t>
      </w:r>
    </w:p>
    <w:p w14:paraId="02978DA2" w14:textId="023CDE2F" w:rsidR="003061E1" w:rsidRDefault="00B83257" w:rsidP="00DC7F13">
      <w:pPr>
        <w:pStyle w:val="ListParagraph"/>
        <w:numPr>
          <w:ilvl w:val="0"/>
          <w:numId w:val="9"/>
        </w:numPr>
        <w:spacing w:after="244"/>
        <w:ind w:right="1151"/>
        <w:rPr>
          <w:rFonts w:ascii="Arial" w:hAnsi="Arial" w:cs="Arial"/>
          <w:bCs/>
        </w:rPr>
      </w:pPr>
      <w:r>
        <w:rPr>
          <w:rFonts w:ascii="Arial" w:hAnsi="Arial" w:cs="Arial"/>
          <w:bCs/>
        </w:rPr>
        <w:t>Pharmacy</w:t>
      </w:r>
      <w:r w:rsidR="003061E1">
        <w:rPr>
          <w:rFonts w:ascii="Arial" w:hAnsi="Arial" w:cs="Arial"/>
          <w:bCs/>
        </w:rPr>
        <w:t xml:space="preserve"> team member</w:t>
      </w:r>
      <w:r w:rsidR="004C4165">
        <w:rPr>
          <w:rFonts w:ascii="Arial" w:hAnsi="Arial" w:cs="Arial"/>
          <w:bCs/>
        </w:rPr>
        <w:t>: familiar with chemotherapy drugs used in intravesical administration</w:t>
      </w:r>
    </w:p>
    <w:p w14:paraId="34C15D15" w14:textId="1B1888A9" w:rsidR="003C3F3B" w:rsidRPr="001A4D09" w:rsidRDefault="003C3F3B" w:rsidP="001A4D09">
      <w:pPr>
        <w:spacing w:after="244"/>
        <w:ind w:left="0" w:right="1151"/>
        <w:rPr>
          <w:bCs/>
        </w:rPr>
      </w:pPr>
      <w:r w:rsidRPr="001A4D09">
        <w:rPr>
          <w:bCs/>
        </w:rPr>
        <w:t xml:space="preserve">*Note: one person may serve in more than one role, but a minimum of 3 people on the core QI team is required. </w:t>
      </w:r>
    </w:p>
    <w:p w14:paraId="3DE1D326" w14:textId="7682F03C" w:rsidR="0087745C" w:rsidRDefault="00804BF8" w:rsidP="006F76A2">
      <w:pPr>
        <w:pStyle w:val="Heading1"/>
        <w:ind w:left="21" w:right="78" w:firstLine="0"/>
      </w:pPr>
      <w:r>
        <w:t xml:space="preserve">What will </w:t>
      </w:r>
      <w:r w:rsidR="004122F4">
        <w:t>you do?</w:t>
      </w:r>
    </w:p>
    <w:p w14:paraId="5598FDAB" w14:textId="13036501" w:rsidR="00B328B7" w:rsidRDefault="004122F4" w:rsidP="003C3AF8">
      <w:pPr>
        <w:ind w:left="0"/>
      </w:pPr>
      <w:r>
        <w:t xml:space="preserve">Step 1: </w:t>
      </w:r>
      <w:r w:rsidR="00F72BAE">
        <w:t>Present project to cancer committe</w:t>
      </w:r>
      <w:r w:rsidR="003061E1">
        <w:t xml:space="preserve">e. Receive signature of support </w:t>
      </w:r>
      <w:r w:rsidR="00510304">
        <w:t xml:space="preserve">from </w:t>
      </w:r>
      <w:r w:rsidR="0032666E">
        <w:t>the Cancer Committee and urologist</w:t>
      </w:r>
      <w:r w:rsidR="00510304">
        <w:t xml:space="preserve"> </w:t>
      </w:r>
      <w:r w:rsidR="00E85E49">
        <w:t xml:space="preserve">(if available) </w:t>
      </w:r>
      <w:r w:rsidR="003061E1">
        <w:t>(template available)</w:t>
      </w:r>
      <w:r w:rsidR="00F72BAE">
        <w:t xml:space="preserve">. </w:t>
      </w:r>
      <w:r w:rsidR="00B328B7">
        <w:t>Form a core QI team</w:t>
      </w:r>
      <w:r w:rsidR="00510304">
        <w:t xml:space="preserve"> as described above</w:t>
      </w:r>
      <w:r w:rsidR="009615E5">
        <w:t xml:space="preserve"> and discuss participation with cancer committee</w:t>
      </w:r>
      <w:r w:rsidR="00B328B7">
        <w:t xml:space="preserve">. </w:t>
      </w:r>
    </w:p>
    <w:p w14:paraId="100E2C63" w14:textId="21464BE9" w:rsidR="003B2977" w:rsidRDefault="003B2977" w:rsidP="003B2977">
      <w:r>
        <w:t xml:space="preserve">Step </w:t>
      </w:r>
      <w:r w:rsidR="00E85E49">
        <w:t>2</w:t>
      </w:r>
      <w:r>
        <w:t xml:space="preserve">: </w:t>
      </w:r>
      <w:r w:rsidR="007F12EE">
        <w:t>C</w:t>
      </w:r>
      <w:r w:rsidR="005008F5">
        <w:t>onduct</w:t>
      </w:r>
      <w:r w:rsidR="008A6BEA">
        <w:t xml:space="preserve"> a root cause analysis</w:t>
      </w:r>
      <w:r w:rsidR="003C7A1B">
        <w:t xml:space="preserve"> and current state process map. </w:t>
      </w:r>
      <w:r w:rsidR="00C167F7">
        <w:t xml:space="preserve">Resources for completing a root cause analysis will be given to all programs. </w:t>
      </w:r>
    </w:p>
    <w:p w14:paraId="3E862770" w14:textId="07EE999A" w:rsidR="00796AFC" w:rsidRDefault="00796AFC" w:rsidP="00B53379">
      <w:pPr>
        <w:ind w:left="0"/>
      </w:pPr>
      <w:r w:rsidRPr="00D564A7">
        <w:lastRenderedPageBreak/>
        <w:t xml:space="preserve">Step </w:t>
      </w:r>
      <w:r w:rsidR="00E85E49">
        <w:t>3</w:t>
      </w:r>
      <w:r w:rsidRPr="00D564A7">
        <w:t xml:space="preserve">: </w:t>
      </w:r>
      <w:r w:rsidR="00C167F7">
        <w:t>Join group calls to share challenges,</w:t>
      </w:r>
      <w:r w:rsidR="003C7A1B">
        <w:t xml:space="preserve"> innovations,</w:t>
      </w:r>
      <w:r w:rsidR="00C167F7">
        <w:t xml:space="preserve"> and learn from peers. </w:t>
      </w:r>
      <w:r w:rsidR="00A5549C">
        <w:t xml:space="preserve"> </w:t>
      </w:r>
    </w:p>
    <w:p w14:paraId="40134793" w14:textId="676E5B2D" w:rsidR="003C7A1B" w:rsidRDefault="003C7A1B" w:rsidP="00B53379">
      <w:pPr>
        <w:ind w:left="0"/>
      </w:pPr>
      <w:r>
        <w:t xml:space="preserve">Step </w:t>
      </w:r>
      <w:r w:rsidR="00E85E49">
        <w:t>4</w:t>
      </w:r>
      <w:r>
        <w:t xml:space="preserve">: Submit </w:t>
      </w:r>
      <w:r w:rsidR="00E85E49">
        <w:t xml:space="preserve">bladder patients via your cancer registry software to RCRS (or via REDCap). Respond to </w:t>
      </w:r>
      <w:r w:rsidR="007F12EE">
        <w:t>pre/mid/post</w:t>
      </w:r>
      <w:r w:rsidR="00C9057E">
        <w:t xml:space="preserve"> </w:t>
      </w:r>
      <w:r w:rsidR="007F12EE">
        <w:t>questionnaires</w:t>
      </w:r>
      <w:r w:rsidR="00E85E49">
        <w:t xml:space="preserve"> (sent to Primary contact via REDCap)</w:t>
      </w:r>
      <w:r w:rsidR="00C9057E">
        <w:t xml:space="preserve"> related to root causes, </w:t>
      </w:r>
      <w:r w:rsidR="00BB266C">
        <w:t>implementation strategies</w:t>
      </w:r>
      <w:r w:rsidR="00ED5468">
        <w:t>, and tests of change</w:t>
      </w:r>
    </w:p>
    <w:p w14:paraId="3D5B87CE" w14:textId="3D8C0B69" w:rsidR="00E85E49" w:rsidRPr="00E85E49" w:rsidRDefault="0032225C" w:rsidP="00E85E49">
      <w:pPr>
        <w:ind w:left="0"/>
        <w:rPr>
          <w:b/>
          <w:bCs/>
          <w:strike/>
          <w:u w:val="single"/>
        </w:rPr>
      </w:pPr>
      <w:r>
        <w:tab/>
      </w:r>
      <w:r w:rsidR="00E85E49" w:rsidRPr="00E85E49">
        <w:rPr>
          <w:b/>
          <w:bCs/>
          <w:color w:val="EE0000"/>
          <w:u w:val="single"/>
        </w:rPr>
        <w:t>DRAFT</w:t>
      </w:r>
      <w:r w:rsidR="00E85E49">
        <w:rPr>
          <w:b/>
          <w:bCs/>
          <w:color w:val="EE0000"/>
          <w:u w:val="single"/>
        </w:rPr>
        <w:t>: SUBJECT TO CHANGE BASED ON TETSING AND FEEDBACK</w:t>
      </w:r>
    </w:p>
    <w:tbl>
      <w:tblPr>
        <w:tblW w:w="10754" w:type="dxa"/>
        <w:tblCellMar>
          <w:left w:w="0" w:type="dxa"/>
          <w:right w:w="0" w:type="dxa"/>
        </w:tblCellMar>
        <w:tblLook w:val="0420" w:firstRow="1" w:lastRow="0" w:firstColumn="0" w:lastColumn="0" w:noHBand="0" w:noVBand="1"/>
      </w:tblPr>
      <w:tblGrid>
        <w:gridCol w:w="3584"/>
        <w:gridCol w:w="3585"/>
        <w:gridCol w:w="3585"/>
      </w:tblGrid>
      <w:tr w:rsidR="00E85E49" w:rsidRPr="00E85E49" w14:paraId="116C8466" w14:textId="77777777" w:rsidTr="00E85E49">
        <w:trPr>
          <w:trHeight w:val="384"/>
        </w:trPr>
        <w:tc>
          <w:tcPr>
            <w:tcW w:w="3584" w:type="dxa"/>
            <w:tcBorders>
              <w:top w:val="single" w:sz="8" w:space="0" w:color="FFFFFF"/>
              <w:left w:val="single" w:sz="8" w:space="0" w:color="FFFFFF"/>
              <w:bottom w:val="single" w:sz="24" w:space="0" w:color="FFFFFF"/>
              <w:right w:val="single" w:sz="8" w:space="0" w:color="FFFFFF"/>
            </w:tcBorders>
            <w:shd w:val="clear" w:color="auto" w:fill="1A3875"/>
            <w:tcMar>
              <w:top w:w="72" w:type="dxa"/>
              <w:left w:w="144" w:type="dxa"/>
              <w:bottom w:w="72" w:type="dxa"/>
              <w:right w:w="144" w:type="dxa"/>
            </w:tcMar>
            <w:hideMark/>
          </w:tcPr>
          <w:p w14:paraId="7B75C911" w14:textId="77777777" w:rsidR="00E85E49" w:rsidRPr="00E85E49" w:rsidRDefault="00E85E49" w:rsidP="00E85E49">
            <w:pPr>
              <w:ind w:left="0"/>
            </w:pPr>
          </w:p>
        </w:tc>
        <w:tc>
          <w:tcPr>
            <w:tcW w:w="3585" w:type="dxa"/>
            <w:tcBorders>
              <w:top w:val="single" w:sz="8" w:space="0" w:color="FFFFFF"/>
              <w:left w:val="single" w:sz="8" w:space="0" w:color="FFFFFF"/>
              <w:bottom w:val="single" w:sz="24" w:space="0" w:color="FFFFFF"/>
              <w:right w:val="single" w:sz="8" w:space="0" w:color="FFFFFF"/>
            </w:tcBorders>
            <w:shd w:val="clear" w:color="auto" w:fill="1A3875"/>
            <w:tcMar>
              <w:top w:w="72" w:type="dxa"/>
              <w:left w:w="144" w:type="dxa"/>
              <w:bottom w:w="72" w:type="dxa"/>
              <w:right w:w="144" w:type="dxa"/>
            </w:tcMar>
            <w:hideMark/>
          </w:tcPr>
          <w:p w14:paraId="70AF8C35" w14:textId="77777777" w:rsidR="00E85E49" w:rsidRPr="00E85E49" w:rsidRDefault="00E85E49" w:rsidP="00E85E49">
            <w:pPr>
              <w:ind w:left="0"/>
            </w:pPr>
            <w:r w:rsidRPr="00E85E49">
              <w:rPr>
                <w:b/>
                <w:bCs/>
              </w:rPr>
              <w:t>Eligible Patients</w:t>
            </w:r>
          </w:p>
        </w:tc>
        <w:tc>
          <w:tcPr>
            <w:tcW w:w="3585" w:type="dxa"/>
            <w:tcBorders>
              <w:top w:val="single" w:sz="8" w:space="0" w:color="FFFFFF"/>
              <w:left w:val="single" w:sz="8" w:space="0" w:color="FFFFFF"/>
              <w:bottom w:val="single" w:sz="24" w:space="0" w:color="FFFFFF"/>
              <w:right w:val="single" w:sz="8" w:space="0" w:color="FFFFFF"/>
            </w:tcBorders>
            <w:shd w:val="clear" w:color="auto" w:fill="1A3875"/>
            <w:tcMar>
              <w:top w:w="72" w:type="dxa"/>
              <w:left w:w="144" w:type="dxa"/>
              <w:bottom w:w="72" w:type="dxa"/>
              <w:right w:w="144" w:type="dxa"/>
            </w:tcMar>
            <w:hideMark/>
          </w:tcPr>
          <w:p w14:paraId="19A2B0FC" w14:textId="77777777" w:rsidR="00E85E49" w:rsidRPr="00E85E49" w:rsidRDefault="00E85E49" w:rsidP="00E85E49">
            <w:pPr>
              <w:ind w:left="0"/>
            </w:pPr>
            <w:r w:rsidRPr="00E85E49">
              <w:rPr>
                <w:b/>
                <w:bCs/>
              </w:rPr>
              <w:t>Data Due</w:t>
            </w:r>
          </w:p>
        </w:tc>
      </w:tr>
      <w:tr w:rsidR="00E85E49" w:rsidRPr="00E85E49" w14:paraId="11519D3F" w14:textId="77777777" w:rsidTr="00E85E49">
        <w:trPr>
          <w:trHeight w:val="384"/>
        </w:trPr>
        <w:tc>
          <w:tcPr>
            <w:tcW w:w="3584" w:type="dxa"/>
            <w:tcBorders>
              <w:top w:val="single" w:sz="24"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0B1FF029" w14:textId="77777777" w:rsidR="00E85E49" w:rsidRPr="00E85E49" w:rsidRDefault="00E85E49" w:rsidP="00E85E49">
            <w:pPr>
              <w:ind w:left="0"/>
            </w:pPr>
            <w:r w:rsidRPr="00E85E49">
              <w:t>Baseline</w:t>
            </w:r>
          </w:p>
        </w:tc>
        <w:tc>
          <w:tcPr>
            <w:tcW w:w="3585" w:type="dxa"/>
            <w:tcBorders>
              <w:top w:val="single" w:sz="24"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634D03B9" w14:textId="77777777" w:rsidR="00E85E49" w:rsidRPr="00E85E49" w:rsidRDefault="00E85E49" w:rsidP="00E85E49">
            <w:pPr>
              <w:ind w:left="0"/>
            </w:pPr>
            <w:r w:rsidRPr="00E85E49">
              <w:t>March 1-May 31</w:t>
            </w:r>
            <w:proofErr w:type="gramStart"/>
            <w:r w:rsidRPr="00E85E49">
              <w:t xml:space="preserve"> 2024</w:t>
            </w:r>
            <w:proofErr w:type="gramEnd"/>
            <w:r w:rsidRPr="00E85E49">
              <w:t>*</w:t>
            </w:r>
          </w:p>
        </w:tc>
        <w:tc>
          <w:tcPr>
            <w:tcW w:w="3585" w:type="dxa"/>
            <w:tcBorders>
              <w:top w:val="single" w:sz="24"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1C94BE34" w14:textId="77777777" w:rsidR="00E85E49" w:rsidRPr="00E85E49" w:rsidRDefault="00E85E49" w:rsidP="00E85E49">
            <w:pPr>
              <w:ind w:left="0"/>
            </w:pPr>
            <w:r w:rsidRPr="00E85E49">
              <w:t>March 30</w:t>
            </w:r>
          </w:p>
        </w:tc>
      </w:tr>
      <w:tr w:rsidR="00E85E49" w:rsidRPr="00E85E49" w14:paraId="337A96F3" w14:textId="77777777" w:rsidTr="00E85E49">
        <w:trPr>
          <w:trHeight w:val="384"/>
        </w:trPr>
        <w:tc>
          <w:tcPr>
            <w:tcW w:w="3584"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030A30E3" w14:textId="77777777" w:rsidR="00E85E49" w:rsidRPr="00E85E49" w:rsidRDefault="00E85E49" w:rsidP="00E85E49">
            <w:pPr>
              <w:ind w:left="0"/>
            </w:pPr>
            <w:r w:rsidRPr="00E85E49">
              <w:t>Collection 2</w:t>
            </w:r>
          </w:p>
        </w:tc>
        <w:tc>
          <w:tcPr>
            <w:tcW w:w="3585"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39023461" w14:textId="77777777" w:rsidR="00E85E49" w:rsidRPr="00E85E49" w:rsidRDefault="00E85E49" w:rsidP="00E85E49">
            <w:pPr>
              <w:ind w:left="0"/>
            </w:pPr>
            <w:r w:rsidRPr="00E85E49">
              <w:t>March 1-May 31, 2026</w:t>
            </w:r>
          </w:p>
        </w:tc>
        <w:tc>
          <w:tcPr>
            <w:tcW w:w="3585"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24A044C2" w14:textId="77777777" w:rsidR="00E85E49" w:rsidRPr="00E85E49" w:rsidRDefault="00E85E49" w:rsidP="00E85E49">
            <w:pPr>
              <w:ind w:left="0"/>
            </w:pPr>
            <w:r w:rsidRPr="00E85E49">
              <w:t>June 30</w:t>
            </w:r>
          </w:p>
        </w:tc>
      </w:tr>
      <w:tr w:rsidR="00E85E49" w:rsidRPr="00E85E49" w14:paraId="0C08AA35" w14:textId="77777777" w:rsidTr="00E85E49">
        <w:trPr>
          <w:trHeight w:val="384"/>
        </w:trPr>
        <w:tc>
          <w:tcPr>
            <w:tcW w:w="3584"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00FDC544" w14:textId="77777777" w:rsidR="00E85E49" w:rsidRPr="00E85E49" w:rsidRDefault="00E85E49" w:rsidP="00E85E49">
            <w:pPr>
              <w:ind w:left="0"/>
            </w:pPr>
            <w:r w:rsidRPr="00E85E49">
              <w:t>Collection 3</w:t>
            </w:r>
          </w:p>
        </w:tc>
        <w:tc>
          <w:tcPr>
            <w:tcW w:w="3585"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22858524" w14:textId="77777777" w:rsidR="00E85E49" w:rsidRPr="00E85E49" w:rsidRDefault="00E85E49" w:rsidP="00E85E49">
            <w:pPr>
              <w:ind w:left="0"/>
            </w:pPr>
            <w:r w:rsidRPr="00E85E49">
              <w:t>June 1-August 31, 2026</w:t>
            </w:r>
          </w:p>
        </w:tc>
        <w:tc>
          <w:tcPr>
            <w:tcW w:w="3585"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77517BD6" w14:textId="77777777" w:rsidR="00E85E49" w:rsidRPr="00E85E49" w:rsidRDefault="00E85E49" w:rsidP="00E85E49">
            <w:pPr>
              <w:ind w:left="0"/>
            </w:pPr>
            <w:r w:rsidRPr="00E85E49">
              <w:t>Sept 30</w:t>
            </w:r>
          </w:p>
        </w:tc>
      </w:tr>
      <w:tr w:rsidR="00E85E49" w:rsidRPr="00E85E49" w14:paraId="265205E2" w14:textId="77777777" w:rsidTr="00E85E49">
        <w:trPr>
          <w:trHeight w:val="331"/>
        </w:trPr>
        <w:tc>
          <w:tcPr>
            <w:tcW w:w="3584"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43766CE0" w14:textId="77777777" w:rsidR="00E85E49" w:rsidRPr="00E85E49" w:rsidRDefault="00E85E49" w:rsidP="00E85E49">
            <w:pPr>
              <w:ind w:left="0"/>
            </w:pPr>
            <w:r w:rsidRPr="00E85E49">
              <w:t>Collection 4</w:t>
            </w:r>
          </w:p>
        </w:tc>
        <w:tc>
          <w:tcPr>
            <w:tcW w:w="3585"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313B9B00" w14:textId="77777777" w:rsidR="00E85E49" w:rsidRPr="00E85E49" w:rsidRDefault="00E85E49" w:rsidP="00E85E49">
            <w:pPr>
              <w:ind w:left="0"/>
            </w:pPr>
            <w:r w:rsidRPr="00E85E49">
              <w:t>Sept 1-Nov 2026</w:t>
            </w:r>
          </w:p>
        </w:tc>
        <w:tc>
          <w:tcPr>
            <w:tcW w:w="3585"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56B62FBB" w14:textId="77777777" w:rsidR="00E85E49" w:rsidRPr="00E85E49" w:rsidRDefault="00E85E49" w:rsidP="00E85E49">
            <w:pPr>
              <w:ind w:left="0"/>
            </w:pPr>
            <w:r w:rsidRPr="00E85E49">
              <w:t>Dec 31</w:t>
            </w:r>
          </w:p>
        </w:tc>
      </w:tr>
    </w:tbl>
    <w:p w14:paraId="1EEBE121" w14:textId="59A47FD4" w:rsidR="0032225C" w:rsidRPr="00E85E49" w:rsidRDefault="00E85E49" w:rsidP="00E85E49">
      <w:pPr>
        <w:ind w:left="0"/>
      </w:pPr>
      <w:r w:rsidRPr="00E85E49">
        <w:t>*If all 2024 cases have been sent to RCRS, nothing is needed for this deadline</w:t>
      </w:r>
    </w:p>
    <w:p w14:paraId="62174C6E" w14:textId="08023D20" w:rsidR="008507E2" w:rsidRPr="00520A7E" w:rsidRDefault="008507E2" w:rsidP="003B2977">
      <w:r w:rsidRPr="00520A7E">
        <w:t xml:space="preserve">Step </w:t>
      </w:r>
      <w:r w:rsidR="00E85E49">
        <w:t>5</w:t>
      </w:r>
      <w:r w:rsidRPr="00520A7E">
        <w:t>:</w:t>
      </w:r>
      <w:r w:rsidR="00FD1EAF" w:rsidRPr="00520A7E">
        <w:t xml:space="preserve"> </w:t>
      </w:r>
      <w:r w:rsidR="00A85532">
        <w:t xml:space="preserve">Develop and implement an intervention plan to test </w:t>
      </w:r>
      <w:r w:rsidR="001F4B22">
        <w:t xml:space="preserve">improvement in post TURBT IVC compliance. </w:t>
      </w:r>
      <w:r w:rsidR="00FD1EAF" w:rsidRPr="00520A7E">
        <w:t>Annotate where</w:t>
      </w:r>
      <w:r w:rsidR="002B1B69">
        <w:t>/when</w:t>
      </w:r>
      <w:r w:rsidR="00FD1EAF" w:rsidRPr="00520A7E">
        <w:t xml:space="preserve"> interventions were implemented and how that impacted </w:t>
      </w:r>
      <w:r w:rsidR="00A030BF" w:rsidRPr="00520A7E">
        <w:t>program’s</w:t>
      </w:r>
      <w:r w:rsidR="00C167F7">
        <w:t xml:space="preserve"> compliance</w:t>
      </w:r>
    </w:p>
    <w:p w14:paraId="4D1CB026" w14:textId="7AA0FB2D" w:rsidR="00FF0862" w:rsidRDefault="003E1FBC" w:rsidP="003B2977">
      <w:r w:rsidRPr="00520A7E">
        <w:t xml:space="preserve">Step </w:t>
      </w:r>
      <w:r w:rsidR="00E85E49">
        <w:t>6</w:t>
      </w:r>
      <w:r w:rsidRPr="00520A7E">
        <w:t xml:space="preserve">: Meaningfully participate and engage in the QI project. </w:t>
      </w:r>
      <w:r w:rsidR="00FF0862" w:rsidRPr="00520A7E">
        <w:t xml:space="preserve">Over the course of the </w:t>
      </w:r>
      <w:r w:rsidRPr="00520A7E">
        <w:t>yearlong</w:t>
      </w:r>
      <w:r w:rsidR="00FF0862" w:rsidRPr="00520A7E">
        <w:t xml:space="preserve"> QI project, you will be submitting </w:t>
      </w:r>
      <w:r w:rsidR="006276E7" w:rsidRPr="00520A7E">
        <w:t>data (see below</w:t>
      </w:r>
      <w:proofErr w:type="gramStart"/>
      <w:r w:rsidR="006276E7" w:rsidRPr="00520A7E">
        <w:t>)</w:t>
      </w:r>
      <w:proofErr w:type="gramEnd"/>
      <w:r w:rsidR="006276E7" w:rsidRPr="00520A7E">
        <w:t xml:space="preserve"> and </w:t>
      </w:r>
      <w:r w:rsidR="00520A7E" w:rsidRPr="00520A7E">
        <w:t>it is strongly recommended</w:t>
      </w:r>
      <w:r w:rsidR="006276E7" w:rsidRPr="00520A7E">
        <w:t xml:space="preserve"> </w:t>
      </w:r>
      <w:r w:rsidR="00520A7E" w:rsidRPr="00520A7E">
        <w:t>you</w:t>
      </w:r>
      <w:r w:rsidR="006276E7" w:rsidRPr="00520A7E">
        <w:t xml:space="preserve"> participate in webinars and </w:t>
      </w:r>
      <w:r w:rsidR="00C167F7">
        <w:t>group</w:t>
      </w:r>
      <w:r w:rsidR="006276E7" w:rsidRPr="00520A7E">
        <w:t xml:space="preserve"> calls</w:t>
      </w:r>
      <w:r w:rsidR="007F12EE">
        <w:t xml:space="preserve">. </w:t>
      </w:r>
    </w:p>
    <w:p w14:paraId="25028660" w14:textId="77777777" w:rsidR="004122F4" w:rsidRDefault="004122F4">
      <w:pPr>
        <w:spacing w:after="4"/>
        <w:ind w:left="-5"/>
        <w:rPr>
          <w:b/>
        </w:rPr>
      </w:pPr>
    </w:p>
    <w:p w14:paraId="60677069" w14:textId="050681CC" w:rsidR="0032679F" w:rsidRDefault="002B1130">
      <w:pPr>
        <w:pStyle w:val="Heading1"/>
        <w:ind w:left="21" w:right="0" w:firstLine="0"/>
      </w:pPr>
      <w:r>
        <w:t>What d</w:t>
      </w:r>
      <w:r w:rsidR="00060F4E">
        <w:t>ata</w:t>
      </w:r>
      <w:r>
        <w:t xml:space="preserve"> will be collected?</w:t>
      </w:r>
    </w:p>
    <w:p w14:paraId="17C15E3A" w14:textId="045F29C4" w:rsidR="002B1130" w:rsidRPr="00A740CF" w:rsidRDefault="00A740CF">
      <w:pPr>
        <w:spacing w:after="4"/>
        <w:ind w:left="-5"/>
        <w:rPr>
          <w:bCs/>
        </w:rPr>
      </w:pPr>
      <w:r w:rsidRPr="00A740CF">
        <w:rPr>
          <w:bCs/>
        </w:rPr>
        <w:t xml:space="preserve">This project will use REDCap to collect survey information on root causes, barriers, programmatic resources, implementation interventions, and satisfaction. Programs will also </w:t>
      </w:r>
      <w:proofErr w:type="gramStart"/>
      <w:r w:rsidRPr="00A740CF">
        <w:rPr>
          <w:bCs/>
        </w:rPr>
        <w:t>have the opportunity to</w:t>
      </w:r>
      <w:proofErr w:type="gramEnd"/>
      <w:r w:rsidRPr="00A740CF">
        <w:rPr>
          <w:bCs/>
        </w:rPr>
        <w:t xml:space="preserve"> provide written </w:t>
      </w:r>
      <w:proofErr w:type="gramStart"/>
      <w:r w:rsidRPr="00A740CF">
        <w:rPr>
          <w:bCs/>
        </w:rPr>
        <w:t>feedback</w:t>
      </w:r>
      <w:r>
        <w:rPr>
          <w:bCs/>
        </w:rPr>
        <w:t>, or</w:t>
      </w:r>
      <w:proofErr w:type="gramEnd"/>
      <w:r>
        <w:rPr>
          <w:bCs/>
        </w:rPr>
        <w:t xml:space="preserve"> ask questions to be addressed on future calls</w:t>
      </w:r>
      <w:r w:rsidRPr="00A740CF">
        <w:rPr>
          <w:bCs/>
        </w:rPr>
        <w:t xml:space="preserve">. These surveys will be sent to the primary contact 30-60 days before they are due. A PDF of the survey will also be attached to the link. </w:t>
      </w:r>
    </w:p>
    <w:p w14:paraId="0DEF9028" w14:textId="444658A1" w:rsidR="00060F4E" w:rsidRPr="00A740CF" w:rsidRDefault="00060F4E" w:rsidP="00A740CF">
      <w:pPr>
        <w:ind w:left="0"/>
        <w:rPr>
          <w:i/>
          <w:iCs/>
        </w:rPr>
      </w:pPr>
      <w:r w:rsidRPr="00A740CF">
        <w:rPr>
          <w:b/>
          <w:bCs/>
          <w:i/>
          <w:iCs/>
        </w:rPr>
        <w:t>Pre</w:t>
      </w:r>
      <w:r w:rsidR="00C167F7" w:rsidRPr="00A740CF">
        <w:rPr>
          <w:b/>
          <w:bCs/>
          <w:i/>
          <w:iCs/>
        </w:rPr>
        <w:t>/</w:t>
      </w:r>
      <w:r w:rsidR="007F12EE" w:rsidRPr="00A740CF">
        <w:rPr>
          <w:b/>
          <w:bCs/>
          <w:i/>
          <w:iCs/>
        </w:rPr>
        <w:t>mid/</w:t>
      </w:r>
      <w:r w:rsidRPr="00A740CF">
        <w:rPr>
          <w:b/>
          <w:bCs/>
          <w:i/>
          <w:iCs/>
        </w:rPr>
        <w:t>post survey</w:t>
      </w:r>
      <w:r w:rsidRPr="00A740CF">
        <w:rPr>
          <w:i/>
          <w:iCs/>
        </w:rPr>
        <w:t xml:space="preserve">: </w:t>
      </w:r>
      <w:r w:rsidR="00722C3F" w:rsidRPr="00A740CF">
        <w:rPr>
          <w:i/>
          <w:iCs/>
        </w:rPr>
        <w:t>Collected via REDCap</w:t>
      </w:r>
      <w:r w:rsidR="003C3F3B" w:rsidRPr="00A740CF">
        <w:rPr>
          <w:i/>
          <w:iCs/>
        </w:rPr>
        <w:t xml:space="preserve"> </w:t>
      </w:r>
      <w:r w:rsidR="00C167F7" w:rsidRPr="00A740CF">
        <w:rPr>
          <w:i/>
          <w:iCs/>
        </w:rPr>
        <w:t xml:space="preserve">due </w:t>
      </w:r>
      <w:r w:rsidR="00E85E49" w:rsidRPr="00A740CF">
        <w:rPr>
          <w:i/>
          <w:iCs/>
        </w:rPr>
        <w:t>April 30, August 31, December 31</w:t>
      </w:r>
    </w:p>
    <w:p w14:paraId="78AE35BC" w14:textId="737B8B1E" w:rsidR="00060F4E" w:rsidRPr="00A740CF" w:rsidRDefault="00A740CF" w:rsidP="00A740CF">
      <w:pPr>
        <w:ind w:left="0"/>
        <w:rPr>
          <w:i/>
          <w:iCs/>
        </w:rPr>
      </w:pPr>
      <w:r>
        <w:t xml:space="preserve">This project will also collect patient level data to be abstracted in cancer registry software and sent to RCRS, or to be entered individually into REDCap (if abstraction and RCRS are not an option/not </w:t>
      </w:r>
      <w:proofErr w:type="gramStart"/>
      <w:r>
        <w:t xml:space="preserve">preferable)   </w:t>
      </w:r>
      <w:proofErr w:type="gramEnd"/>
      <w:r>
        <w:t xml:space="preserve">         </w:t>
      </w:r>
      <w:r w:rsidRPr="00A740CF">
        <w:rPr>
          <w:b/>
          <w:bCs/>
          <w:i/>
          <w:iCs/>
        </w:rPr>
        <w:t xml:space="preserve">Patient </w:t>
      </w:r>
      <w:r w:rsidR="00060F4E" w:rsidRPr="00A740CF">
        <w:rPr>
          <w:b/>
          <w:bCs/>
          <w:i/>
          <w:iCs/>
        </w:rPr>
        <w:t>Measures</w:t>
      </w:r>
      <w:r w:rsidR="00D90B76" w:rsidRPr="00A740CF">
        <w:rPr>
          <w:i/>
          <w:iCs/>
        </w:rPr>
        <w:t xml:space="preserve">: </w:t>
      </w:r>
      <w:r w:rsidR="00D86063" w:rsidRPr="00A740CF">
        <w:rPr>
          <w:i/>
          <w:iCs/>
        </w:rPr>
        <w:t xml:space="preserve">Collected </w:t>
      </w:r>
      <w:r w:rsidR="00C167F7" w:rsidRPr="00A740CF">
        <w:rPr>
          <w:i/>
          <w:iCs/>
        </w:rPr>
        <w:t>Quarterly (</w:t>
      </w:r>
      <w:r w:rsidRPr="00A740CF">
        <w:rPr>
          <w:i/>
          <w:iCs/>
        </w:rPr>
        <w:t>March 31</w:t>
      </w:r>
      <w:r w:rsidR="00C167F7" w:rsidRPr="00A740CF">
        <w:rPr>
          <w:i/>
          <w:iCs/>
        </w:rPr>
        <w:t>, June</w:t>
      </w:r>
      <w:r w:rsidRPr="00A740CF">
        <w:rPr>
          <w:i/>
          <w:iCs/>
        </w:rPr>
        <w:t xml:space="preserve"> 30</w:t>
      </w:r>
      <w:r w:rsidR="00C167F7" w:rsidRPr="00A740CF">
        <w:rPr>
          <w:i/>
          <w:iCs/>
        </w:rPr>
        <w:t>, September</w:t>
      </w:r>
      <w:r w:rsidRPr="00A740CF">
        <w:rPr>
          <w:i/>
          <w:iCs/>
        </w:rPr>
        <w:t xml:space="preserve"> 30</w:t>
      </w:r>
      <w:r w:rsidR="00C167F7" w:rsidRPr="00A740CF">
        <w:rPr>
          <w:i/>
          <w:iCs/>
        </w:rPr>
        <w:t>, and December</w:t>
      </w:r>
      <w:r w:rsidRPr="00A740CF">
        <w:rPr>
          <w:i/>
          <w:iCs/>
        </w:rPr>
        <w:t xml:space="preserve"> 3, 2026</w:t>
      </w:r>
      <w:r w:rsidR="00C167F7" w:rsidRPr="00A740CF">
        <w:rPr>
          <w:i/>
          <w:iCs/>
        </w:rPr>
        <w:t>)</w:t>
      </w:r>
      <w:r w:rsidR="00D86063" w:rsidRPr="00A740CF">
        <w:rPr>
          <w:i/>
          <w:iCs/>
        </w:rPr>
        <w:t xml:space="preserve"> </w:t>
      </w:r>
    </w:p>
    <w:p w14:paraId="5156DCFE" w14:textId="2FBD9583" w:rsidR="0009067B" w:rsidRDefault="00616551" w:rsidP="003C3F3B">
      <w:r w:rsidRPr="00616551">
        <w:rPr>
          <w:noProof/>
        </w:rPr>
        <w:lastRenderedPageBreak/>
        <w:drawing>
          <wp:inline distT="0" distB="0" distL="0" distR="0" wp14:anchorId="171DA187" wp14:editId="1B79B97E">
            <wp:extent cx="6858000" cy="1245870"/>
            <wp:effectExtent l="0" t="0" r="0" b="0"/>
            <wp:docPr id="1053741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4164" name="Picture 1" descr="A screenshot of a computer&#10;&#10;AI-generated content may be incorrect."/>
                    <pic:cNvPicPr/>
                  </pic:nvPicPr>
                  <pic:blipFill>
                    <a:blip r:embed="rId8"/>
                    <a:stretch>
                      <a:fillRect/>
                    </a:stretch>
                  </pic:blipFill>
                  <pic:spPr>
                    <a:xfrm>
                      <a:off x="0" y="0"/>
                      <a:ext cx="6858000" cy="1245870"/>
                    </a:xfrm>
                    <a:prstGeom prst="rect">
                      <a:avLst/>
                    </a:prstGeom>
                  </pic:spPr>
                </pic:pic>
              </a:graphicData>
            </a:graphic>
          </wp:inline>
        </w:drawing>
      </w:r>
    </w:p>
    <w:p w14:paraId="2ACF84D5" w14:textId="08201FBA" w:rsidR="002B1130" w:rsidRPr="00E85E49" w:rsidRDefault="00F61BCB" w:rsidP="00E85E49">
      <w:r w:rsidRPr="00F61BCB">
        <w:rPr>
          <w:noProof/>
        </w:rPr>
        <w:drawing>
          <wp:inline distT="0" distB="0" distL="0" distR="0" wp14:anchorId="0DEDD45A" wp14:editId="719982D3">
            <wp:extent cx="6858000" cy="3587750"/>
            <wp:effectExtent l="0" t="0" r="0" b="0"/>
            <wp:docPr id="659105803" name="Picture 1" descr="A close-up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05803" name="Picture 1" descr="A close-up of a medical report&#10;&#10;AI-generated content may be incorrect."/>
                    <pic:cNvPicPr/>
                  </pic:nvPicPr>
                  <pic:blipFill>
                    <a:blip r:embed="rId9"/>
                    <a:stretch>
                      <a:fillRect/>
                    </a:stretch>
                  </pic:blipFill>
                  <pic:spPr>
                    <a:xfrm>
                      <a:off x="0" y="0"/>
                      <a:ext cx="6858000" cy="3587750"/>
                    </a:xfrm>
                    <a:prstGeom prst="rect">
                      <a:avLst/>
                    </a:prstGeom>
                  </pic:spPr>
                </pic:pic>
              </a:graphicData>
            </a:graphic>
          </wp:inline>
        </w:drawing>
      </w:r>
    </w:p>
    <w:p w14:paraId="0E9B88EC" w14:textId="7FE07529" w:rsidR="001C1424" w:rsidRDefault="001C1424">
      <w:pPr>
        <w:spacing w:after="4"/>
        <w:ind w:left="-5"/>
        <w:rPr>
          <w:b/>
        </w:rPr>
      </w:pPr>
    </w:p>
    <w:p w14:paraId="60FBA545" w14:textId="6E6CFF61" w:rsidR="001C1424" w:rsidRDefault="0016015C">
      <w:pPr>
        <w:spacing w:after="4"/>
        <w:ind w:left="-5"/>
        <w:rPr>
          <w:b/>
        </w:rPr>
      </w:pPr>
      <w:r>
        <w:rPr>
          <w:b/>
        </w:rPr>
        <w:t xml:space="preserve">Note: No patient identifying information will be collected. </w:t>
      </w:r>
    </w:p>
    <w:p w14:paraId="4CE0F254" w14:textId="2F1D0FE0" w:rsidR="00FB08B9" w:rsidRDefault="00FB08B9">
      <w:pPr>
        <w:spacing w:after="4"/>
        <w:ind w:left="-5"/>
        <w:rPr>
          <w:b/>
        </w:rPr>
      </w:pPr>
      <w:r w:rsidRPr="00E85E49">
        <w:rPr>
          <w:b/>
        </w:rPr>
        <w:t>Note: Please view the FAQ</w:t>
      </w:r>
      <w:r w:rsidR="00EA219D" w:rsidRPr="00E85E49">
        <w:rPr>
          <w:b/>
        </w:rPr>
        <w:t xml:space="preserve"> on the project website</w:t>
      </w:r>
      <w:r w:rsidRPr="00E85E49">
        <w:rPr>
          <w:b/>
        </w:rPr>
        <w:t xml:space="preserve"> for questions related to inclusion and exclusion.</w:t>
      </w:r>
      <w:r>
        <w:rPr>
          <w:b/>
        </w:rPr>
        <w:t xml:space="preserve"> </w:t>
      </w:r>
    </w:p>
    <w:p w14:paraId="657C7579" w14:textId="01482CEE" w:rsidR="00E85E49" w:rsidRPr="00E85E49" w:rsidRDefault="00E85E49">
      <w:pPr>
        <w:spacing w:after="4"/>
        <w:ind w:left="-5"/>
        <w:rPr>
          <w:b/>
          <w:color w:val="EE0000"/>
        </w:rPr>
      </w:pPr>
      <w:r w:rsidRPr="00E85E49">
        <w:rPr>
          <w:b/>
          <w:color w:val="EE0000"/>
        </w:rPr>
        <w:t>FAQ WILL BE UPDATED AND ADDED TO WEBSITE 5-7 DAYS POST INFORMATIONAL WEBINAR</w:t>
      </w:r>
    </w:p>
    <w:p w14:paraId="65631B4C" w14:textId="77777777" w:rsidR="00060F4E" w:rsidRDefault="00060F4E">
      <w:pPr>
        <w:spacing w:after="4"/>
        <w:ind w:left="-5"/>
        <w:rPr>
          <w:b/>
        </w:rPr>
      </w:pPr>
    </w:p>
    <w:p w14:paraId="02519C69" w14:textId="227B90B5" w:rsidR="0032679F" w:rsidRDefault="002B1130">
      <w:pPr>
        <w:pStyle w:val="Heading1"/>
        <w:ind w:left="21" w:right="0" w:firstLine="0"/>
      </w:pPr>
      <w:r>
        <w:t>What is the benefit of participating?</w:t>
      </w:r>
    </w:p>
    <w:p w14:paraId="0FEA1DB9" w14:textId="77777777" w:rsidR="0032679F" w:rsidRPr="0032225C" w:rsidRDefault="0032679F">
      <w:pPr>
        <w:spacing w:after="4"/>
        <w:ind w:left="-5"/>
      </w:pPr>
    </w:p>
    <w:p w14:paraId="4ED3DA5F" w14:textId="63D85739" w:rsidR="002B1130" w:rsidRPr="0032225C" w:rsidRDefault="002B1130" w:rsidP="0032225C">
      <w:pPr>
        <w:pStyle w:val="ListParagraph"/>
        <w:numPr>
          <w:ilvl w:val="0"/>
          <w:numId w:val="3"/>
        </w:numPr>
        <w:rPr>
          <w:rFonts w:ascii="Arial" w:hAnsi="Arial" w:cs="Arial"/>
        </w:rPr>
      </w:pPr>
      <w:r w:rsidRPr="0032225C">
        <w:rPr>
          <w:rFonts w:ascii="Arial" w:hAnsi="Arial" w:cs="Arial"/>
        </w:rPr>
        <w:t xml:space="preserve">Access to asynchronous learning materials, didactic webinars, and one on one coaching and technical assistance, as needed. </w:t>
      </w:r>
    </w:p>
    <w:p w14:paraId="6F627D38" w14:textId="6E2807EF" w:rsidR="00914592" w:rsidRPr="0032225C" w:rsidRDefault="00D83E40" w:rsidP="0032225C">
      <w:pPr>
        <w:pStyle w:val="ListParagraph"/>
        <w:numPr>
          <w:ilvl w:val="0"/>
          <w:numId w:val="3"/>
        </w:numPr>
        <w:rPr>
          <w:rFonts w:ascii="Arial" w:hAnsi="Arial" w:cs="Arial"/>
        </w:rPr>
      </w:pPr>
      <w:r w:rsidRPr="0032225C">
        <w:rPr>
          <w:rFonts w:ascii="Arial" w:hAnsi="Arial" w:cs="Arial"/>
        </w:rPr>
        <w:t>D</w:t>
      </w:r>
      <w:r w:rsidR="00914592" w:rsidRPr="0032225C">
        <w:rPr>
          <w:rFonts w:ascii="Arial" w:hAnsi="Arial" w:cs="Arial"/>
        </w:rPr>
        <w:t xml:space="preserve">ata </w:t>
      </w:r>
      <w:r w:rsidR="00FB08B9" w:rsidRPr="0032225C">
        <w:rPr>
          <w:rFonts w:ascii="Arial" w:hAnsi="Arial" w:cs="Arial"/>
        </w:rPr>
        <w:t>submissions to aggregate</w:t>
      </w:r>
      <w:r w:rsidR="00914592" w:rsidRPr="0032225C">
        <w:rPr>
          <w:rFonts w:ascii="Arial" w:hAnsi="Arial" w:cs="Arial"/>
        </w:rPr>
        <w:t xml:space="preserve"> </w:t>
      </w:r>
      <w:r w:rsidR="00FB08B9" w:rsidRPr="0032225C">
        <w:rPr>
          <w:rFonts w:ascii="Arial" w:hAnsi="Arial" w:cs="Arial"/>
        </w:rPr>
        <w:t>and</w:t>
      </w:r>
      <w:r w:rsidR="00914592" w:rsidRPr="0032225C">
        <w:rPr>
          <w:rFonts w:ascii="Arial" w:hAnsi="Arial" w:cs="Arial"/>
        </w:rPr>
        <w:t xml:space="preserve"> benchmark program progress against </w:t>
      </w:r>
      <w:r w:rsidR="002C7CCA" w:rsidRPr="0032225C">
        <w:rPr>
          <w:rFonts w:ascii="Arial" w:hAnsi="Arial" w:cs="Arial"/>
        </w:rPr>
        <w:t>aggregate project benchmark</w:t>
      </w:r>
    </w:p>
    <w:p w14:paraId="306D5AA2" w14:textId="62CA5993" w:rsidR="002B1130" w:rsidRPr="0032225C" w:rsidRDefault="002B1130" w:rsidP="0032225C">
      <w:pPr>
        <w:pStyle w:val="ListParagraph"/>
        <w:numPr>
          <w:ilvl w:val="0"/>
          <w:numId w:val="3"/>
        </w:numPr>
        <w:rPr>
          <w:rFonts w:ascii="Arial" w:hAnsi="Arial" w:cs="Arial"/>
        </w:rPr>
      </w:pPr>
      <w:r w:rsidRPr="0032225C">
        <w:rPr>
          <w:rFonts w:ascii="Arial" w:hAnsi="Arial" w:cs="Arial"/>
        </w:rPr>
        <w:t xml:space="preserve">Collaborate and network with peer programs and national leaders </w:t>
      </w:r>
    </w:p>
    <w:p w14:paraId="4F70434D" w14:textId="77777777" w:rsidR="00E85E49" w:rsidRPr="00E85E49" w:rsidRDefault="002B1130" w:rsidP="0032225C">
      <w:pPr>
        <w:pStyle w:val="ListParagraph"/>
        <w:numPr>
          <w:ilvl w:val="0"/>
          <w:numId w:val="3"/>
        </w:numPr>
        <w:rPr>
          <w:rFonts w:ascii="Arial" w:hAnsi="Arial" w:cs="Arial"/>
        </w:rPr>
      </w:pPr>
      <w:r w:rsidRPr="0032225C">
        <w:rPr>
          <w:rFonts w:ascii="Arial" w:hAnsi="Arial" w:cs="Arial"/>
        </w:rPr>
        <w:t xml:space="preserve">Earn credit for CoC standards </w:t>
      </w:r>
      <w:r w:rsidR="00E85E49">
        <w:rPr>
          <w:rFonts w:ascii="Arial" w:hAnsi="Arial" w:cs="Arial"/>
        </w:rPr>
        <w:t xml:space="preserve">7.2, </w:t>
      </w:r>
      <w:r w:rsidRPr="0032225C">
        <w:rPr>
          <w:rFonts w:ascii="Arial" w:hAnsi="Arial" w:cs="Arial"/>
        </w:rPr>
        <w:t>7.3</w:t>
      </w:r>
      <w:r w:rsidR="007F12EE" w:rsidRPr="0032225C">
        <w:rPr>
          <w:rFonts w:ascii="Arial" w:hAnsi="Arial" w:cs="Arial"/>
        </w:rPr>
        <w:t>,</w:t>
      </w:r>
      <w:r w:rsidR="00E85E49">
        <w:rPr>
          <w:rFonts w:ascii="Arial" w:hAnsi="Arial" w:cs="Arial"/>
        </w:rPr>
        <w:t xml:space="preserve"> </w:t>
      </w:r>
      <w:r w:rsidR="00E85E49" w:rsidRPr="00E85E49">
        <w:rPr>
          <w:rFonts w:ascii="Arial" w:hAnsi="Arial" w:cs="Arial"/>
          <w:color w:val="EE0000"/>
        </w:rPr>
        <w:t>(PENDING APPROVAL)</w:t>
      </w:r>
      <w:r w:rsidR="007F12EE" w:rsidRPr="00E85E49">
        <w:rPr>
          <w:rFonts w:ascii="Arial" w:hAnsi="Arial" w:cs="Arial"/>
          <w:color w:val="EE0000"/>
        </w:rPr>
        <w:t xml:space="preserve"> </w:t>
      </w:r>
    </w:p>
    <w:p w14:paraId="6E3AD6CF" w14:textId="1376CBAC" w:rsidR="002B1130" w:rsidRPr="0032225C" w:rsidRDefault="00E85E49" w:rsidP="0032225C">
      <w:pPr>
        <w:pStyle w:val="ListParagraph"/>
        <w:numPr>
          <w:ilvl w:val="0"/>
          <w:numId w:val="3"/>
        </w:numPr>
        <w:rPr>
          <w:rFonts w:ascii="Arial" w:hAnsi="Arial" w:cs="Arial"/>
        </w:rPr>
      </w:pPr>
      <w:r>
        <w:rPr>
          <w:rFonts w:ascii="Arial" w:hAnsi="Arial" w:cs="Arial"/>
        </w:rPr>
        <w:lastRenderedPageBreak/>
        <w:t>I</w:t>
      </w:r>
      <w:r w:rsidR="007F12EE" w:rsidRPr="0032225C">
        <w:rPr>
          <w:rFonts w:ascii="Arial" w:hAnsi="Arial" w:cs="Arial"/>
        </w:rPr>
        <w:t>mprove quality measure BLCT1</w:t>
      </w:r>
    </w:p>
    <w:p w14:paraId="0D1848D7" w14:textId="7CC5F268" w:rsidR="002B1130" w:rsidRPr="0032225C" w:rsidRDefault="002B1130" w:rsidP="0032225C">
      <w:pPr>
        <w:pStyle w:val="ListParagraph"/>
        <w:numPr>
          <w:ilvl w:val="0"/>
          <w:numId w:val="3"/>
        </w:numPr>
        <w:spacing w:after="0"/>
        <w:ind w:right="542"/>
        <w:rPr>
          <w:rFonts w:ascii="Arial" w:hAnsi="Arial" w:cs="Arial"/>
        </w:rPr>
      </w:pPr>
      <w:r w:rsidRPr="0032225C">
        <w:rPr>
          <w:rFonts w:ascii="Arial" w:hAnsi="Arial" w:cs="Arial"/>
        </w:rPr>
        <w:t>Opportunity to showcase innovations and learnings at future ACS conferences</w:t>
      </w:r>
    </w:p>
    <w:p w14:paraId="52B84704" w14:textId="77777777" w:rsidR="00F465A6" w:rsidRDefault="00F465A6" w:rsidP="002B1130">
      <w:pPr>
        <w:spacing w:after="0"/>
        <w:ind w:left="-5" w:right="542"/>
      </w:pPr>
    </w:p>
    <w:p w14:paraId="1B38BC15" w14:textId="77777777" w:rsidR="002B1130" w:rsidRDefault="002B1130" w:rsidP="002B1130">
      <w:pPr>
        <w:spacing w:after="0"/>
        <w:ind w:left="-5" w:right="542"/>
      </w:pPr>
    </w:p>
    <w:p w14:paraId="5A55FF06" w14:textId="77777777" w:rsidR="00FB3B09" w:rsidRDefault="00FB3B09" w:rsidP="006103A8"/>
    <w:p w14:paraId="4E079AF6" w14:textId="77777777" w:rsidR="0032679F" w:rsidRDefault="0032679F">
      <w:pPr>
        <w:spacing w:after="4"/>
        <w:ind w:left="-5"/>
      </w:pPr>
    </w:p>
    <w:p w14:paraId="4E7DF8EF" w14:textId="77777777" w:rsidR="00E85E49" w:rsidRPr="00E85E49" w:rsidRDefault="00E85E49" w:rsidP="00E85E49">
      <w:pPr>
        <w:ind w:firstLine="720"/>
      </w:pPr>
    </w:p>
    <w:p w14:paraId="32DBCD84" w14:textId="5DD1FD0B" w:rsidR="0032679F" w:rsidRPr="0087745C" w:rsidRDefault="002B1130" w:rsidP="00B87415">
      <w:pPr>
        <w:pStyle w:val="Heading1"/>
        <w:ind w:left="21" w:right="0" w:firstLine="0"/>
      </w:pPr>
      <w:r>
        <w:t>Timeline and Important date</w:t>
      </w:r>
      <w:r w:rsidR="00C95EC4">
        <w:t>s</w:t>
      </w:r>
    </w:p>
    <w:p w14:paraId="56244E8E" w14:textId="77777777" w:rsidR="00C55917" w:rsidRPr="0087745C" w:rsidRDefault="00C55917" w:rsidP="00295FAA">
      <w:pPr>
        <w:spacing w:after="4"/>
        <w:ind w:left="-5"/>
      </w:pPr>
    </w:p>
    <w:tbl>
      <w:tblPr>
        <w:tblW w:w="10502" w:type="dxa"/>
        <w:tblCellMar>
          <w:left w:w="0" w:type="dxa"/>
          <w:right w:w="0" w:type="dxa"/>
        </w:tblCellMar>
        <w:tblLook w:val="04A0" w:firstRow="1" w:lastRow="0" w:firstColumn="1" w:lastColumn="0" w:noHBand="0" w:noVBand="1"/>
      </w:tblPr>
      <w:tblGrid>
        <w:gridCol w:w="2223"/>
        <w:gridCol w:w="8279"/>
      </w:tblGrid>
      <w:tr w:rsidR="00B87415" w:rsidRPr="00B87415" w14:paraId="2B497383" w14:textId="77777777" w:rsidTr="00B87415">
        <w:trPr>
          <w:trHeight w:val="322"/>
        </w:trPr>
        <w:tc>
          <w:tcPr>
            <w:tcW w:w="222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38929DF" w14:textId="77777777" w:rsidR="00B87415" w:rsidRPr="00B87415" w:rsidRDefault="00B87415" w:rsidP="00B87415">
            <w:pPr>
              <w:spacing w:after="4"/>
              <w:ind w:left="-5"/>
              <w:rPr>
                <w:color w:val="FFFFFF" w:themeColor="background1"/>
              </w:rPr>
            </w:pPr>
            <w:r w:rsidRPr="00B87415">
              <w:rPr>
                <w:b/>
                <w:bCs/>
                <w:color w:val="FFFFFF" w:themeColor="background1"/>
              </w:rPr>
              <w:t>Date</w:t>
            </w:r>
          </w:p>
        </w:tc>
        <w:tc>
          <w:tcPr>
            <w:tcW w:w="827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018322B" w14:textId="77777777" w:rsidR="00B87415" w:rsidRPr="00B87415" w:rsidRDefault="00B87415" w:rsidP="00B87415">
            <w:pPr>
              <w:spacing w:after="4"/>
              <w:ind w:left="-5"/>
            </w:pPr>
            <w:r w:rsidRPr="00B87415">
              <w:rPr>
                <w:b/>
                <w:bCs/>
                <w:color w:val="FFFFFF" w:themeColor="background1"/>
              </w:rPr>
              <w:t>Event</w:t>
            </w:r>
          </w:p>
        </w:tc>
      </w:tr>
      <w:tr w:rsidR="00B87415" w:rsidRPr="00B87415" w14:paraId="14E291A3" w14:textId="77777777" w:rsidTr="000B5C30">
        <w:trPr>
          <w:trHeight w:val="664"/>
        </w:trPr>
        <w:tc>
          <w:tcPr>
            <w:tcW w:w="222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A221FB4" w14:textId="77777777" w:rsidR="00B87415" w:rsidRPr="00253613" w:rsidRDefault="00F96AAD" w:rsidP="00B87415">
            <w:pPr>
              <w:spacing w:after="4"/>
              <w:ind w:left="-5"/>
              <w:rPr>
                <w:color w:val="FFFFFF" w:themeColor="background1"/>
              </w:rPr>
            </w:pPr>
            <w:r w:rsidRPr="00253613">
              <w:rPr>
                <w:color w:val="FFFFFF" w:themeColor="background1"/>
              </w:rPr>
              <w:t>November 14</w:t>
            </w:r>
            <w:r w:rsidR="00D14640" w:rsidRPr="00253613">
              <w:rPr>
                <w:color w:val="FFFFFF" w:themeColor="background1"/>
              </w:rPr>
              <w:t>, 2025</w:t>
            </w:r>
          </w:p>
          <w:p w14:paraId="3BE144E7" w14:textId="05DAEA9E" w:rsidR="00253613" w:rsidRPr="00B87415" w:rsidRDefault="00253613" w:rsidP="00B87415">
            <w:pPr>
              <w:spacing w:after="4"/>
              <w:ind w:left="-5"/>
              <w:rPr>
                <w:color w:val="FFFFFF" w:themeColor="background1"/>
              </w:rPr>
            </w:pPr>
            <w:r w:rsidRPr="00253613">
              <w:rPr>
                <w:color w:val="FFFFFF" w:themeColor="background1"/>
              </w:rPr>
              <w:t>1</w:t>
            </w:r>
            <w:r w:rsidR="0032225C">
              <w:rPr>
                <w:color w:val="FFFFFF" w:themeColor="background1"/>
              </w:rPr>
              <w:t>1a</w:t>
            </w:r>
            <w:r w:rsidRPr="00253613">
              <w:rPr>
                <w:color w:val="FFFFFF" w:themeColor="background1"/>
              </w:rPr>
              <w:t>m CT</w:t>
            </w:r>
          </w:p>
        </w:tc>
        <w:tc>
          <w:tcPr>
            <w:tcW w:w="8279"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4C1D235D" w14:textId="13FE52B8" w:rsidR="00B87415" w:rsidRPr="00B87415" w:rsidRDefault="00B87415" w:rsidP="00B87415">
            <w:pPr>
              <w:spacing w:after="4"/>
              <w:ind w:left="-5"/>
            </w:pPr>
            <w:r w:rsidRPr="00B87415">
              <w:t xml:space="preserve">Informational webinar, </w:t>
            </w:r>
            <w:r w:rsidR="00D14640">
              <w:t>Intent to participate survey opens</w:t>
            </w:r>
            <w:r w:rsidR="00E85E49">
              <w:t xml:space="preserve"> (via </w:t>
            </w:r>
            <w:r w:rsidR="00C95EC4">
              <w:t xml:space="preserve">project </w:t>
            </w:r>
            <w:r w:rsidR="00E85E49">
              <w:t xml:space="preserve">website) </w:t>
            </w:r>
          </w:p>
        </w:tc>
      </w:tr>
      <w:tr w:rsidR="00B87415" w:rsidRPr="00B87415" w14:paraId="23A1DCC1"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2F9CE70" w14:textId="42D5C6C9" w:rsidR="00B87415" w:rsidRPr="00253613" w:rsidRDefault="00B87415" w:rsidP="00B87415">
            <w:pPr>
              <w:spacing w:after="4"/>
              <w:ind w:left="-5"/>
              <w:rPr>
                <w:color w:val="FFFFFF" w:themeColor="background1"/>
              </w:rPr>
            </w:pPr>
            <w:r w:rsidRPr="00253613">
              <w:rPr>
                <w:color w:val="FFFFFF" w:themeColor="background1"/>
              </w:rPr>
              <w:t xml:space="preserve">Feb </w:t>
            </w:r>
            <w:r w:rsidR="00D14640" w:rsidRPr="00253613">
              <w:rPr>
                <w:color w:val="FFFFFF" w:themeColor="background1"/>
              </w:rPr>
              <w:t>15, 2026</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54718FAE" w14:textId="6AA88D2B" w:rsidR="00B87415" w:rsidRPr="00B87415" w:rsidRDefault="00D14640" w:rsidP="00B87415">
            <w:pPr>
              <w:spacing w:after="4"/>
              <w:ind w:left="-5"/>
            </w:pPr>
            <w:r>
              <w:t>Intent to participate survey and letter of support due</w:t>
            </w:r>
            <w:r w:rsidR="00E2446F">
              <w:t xml:space="preserve"> (include hyperlink)</w:t>
            </w:r>
          </w:p>
        </w:tc>
      </w:tr>
      <w:tr w:rsidR="00B87415" w:rsidRPr="00B87415" w14:paraId="34F9FAEF"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D8B43A8" w14:textId="77777777" w:rsidR="00B87415" w:rsidRDefault="00253613" w:rsidP="00B87415">
            <w:pPr>
              <w:spacing w:after="4"/>
              <w:ind w:left="-5"/>
              <w:rPr>
                <w:color w:val="FFFFFF" w:themeColor="background1"/>
              </w:rPr>
            </w:pPr>
            <w:r>
              <w:rPr>
                <w:color w:val="FFFFFF" w:themeColor="background1"/>
              </w:rPr>
              <w:t>March 13, 2026</w:t>
            </w:r>
          </w:p>
          <w:p w14:paraId="139EAA16" w14:textId="01E5B545" w:rsidR="00253613" w:rsidRPr="00B87415" w:rsidRDefault="00253613" w:rsidP="00B87415">
            <w:pPr>
              <w:spacing w:after="4"/>
              <w:ind w:left="-5"/>
              <w:rPr>
                <w:color w:val="FFFFFF" w:themeColor="background1"/>
              </w:rPr>
            </w:pPr>
            <w:r>
              <w:rPr>
                <w:color w:val="FFFFFF" w:themeColor="background1"/>
              </w:rPr>
              <w:t>1</w:t>
            </w:r>
            <w:r w:rsidR="00457A8D">
              <w:rPr>
                <w:color w:val="FFFFFF" w:themeColor="background1"/>
              </w:rPr>
              <w:t>1a</w:t>
            </w:r>
            <w:r>
              <w:rPr>
                <w:color w:val="FFFFFF" w:themeColor="background1"/>
              </w:rPr>
              <w:t>m CT</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0F901F32" w14:textId="79937B20" w:rsidR="00B87415" w:rsidRPr="00C95EC4" w:rsidRDefault="00610D0C" w:rsidP="00B87415">
            <w:pPr>
              <w:spacing w:after="4"/>
              <w:ind w:left="-5"/>
              <w:rPr>
                <w:b/>
                <w:bCs/>
              </w:rPr>
            </w:pPr>
            <w:r w:rsidRPr="00C95EC4">
              <w:rPr>
                <w:b/>
                <w:bCs/>
              </w:rPr>
              <w:t>Collaborative</w:t>
            </w:r>
            <w:r w:rsidR="00B8205E" w:rsidRPr="00C95EC4">
              <w:rPr>
                <w:b/>
                <w:bCs/>
              </w:rPr>
              <w:t xml:space="preserve"> call</w:t>
            </w:r>
            <w:r w:rsidRPr="00C95EC4">
              <w:rPr>
                <w:b/>
                <w:bCs/>
              </w:rPr>
              <w:t xml:space="preserve"> </w:t>
            </w:r>
            <w:r w:rsidR="00B8205E" w:rsidRPr="00C95EC4">
              <w:rPr>
                <w:b/>
                <w:bCs/>
              </w:rPr>
              <w:t xml:space="preserve"> </w:t>
            </w:r>
          </w:p>
          <w:p w14:paraId="2E168D31" w14:textId="77777777" w:rsidR="009E597C" w:rsidRDefault="009E597C" w:rsidP="00B87415">
            <w:pPr>
              <w:spacing w:after="4"/>
              <w:ind w:left="-5"/>
            </w:pPr>
            <w:r>
              <w:t>Overview of project</w:t>
            </w:r>
          </w:p>
          <w:p w14:paraId="5DE121E6" w14:textId="77777777" w:rsidR="009E597C" w:rsidRDefault="009E597C" w:rsidP="00B87415">
            <w:pPr>
              <w:spacing w:after="4"/>
              <w:ind w:left="-5"/>
            </w:pPr>
            <w:r>
              <w:t>The science and evidence behind BLCT1</w:t>
            </w:r>
          </w:p>
          <w:p w14:paraId="62652890" w14:textId="77777777" w:rsidR="00457A8D" w:rsidRDefault="009E597C" w:rsidP="00E85E49">
            <w:pPr>
              <w:spacing w:after="4"/>
              <w:ind w:left="-5"/>
            </w:pPr>
            <w:r>
              <w:t xml:space="preserve">QI </w:t>
            </w:r>
            <w:r w:rsidR="007A10C1">
              <w:t>and</w:t>
            </w:r>
            <w:r w:rsidR="00983F25">
              <w:t xml:space="preserve"> process mapping</w:t>
            </w:r>
            <w:r w:rsidR="00457A8D">
              <w:t>, root cause</w:t>
            </w:r>
            <w:r w:rsidR="00E85E49">
              <w:t xml:space="preserve"> case study</w:t>
            </w:r>
          </w:p>
          <w:p w14:paraId="48EFDCE4" w14:textId="25726BCC" w:rsidR="00C95EC4" w:rsidRPr="00B87415" w:rsidRDefault="00C95EC4" w:rsidP="00E85E49">
            <w:pPr>
              <w:spacing w:after="4"/>
              <w:ind w:left="-5"/>
            </w:pPr>
          </w:p>
        </w:tc>
      </w:tr>
      <w:tr w:rsidR="00C95EC4" w:rsidRPr="00B87415" w14:paraId="305AF6C9"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D0E4912" w14:textId="63B0DE91" w:rsidR="00C95EC4" w:rsidRDefault="00C95EC4" w:rsidP="00B87415">
            <w:pPr>
              <w:spacing w:after="4"/>
              <w:ind w:left="-5"/>
              <w:rPr>
                <w:color w:val="FFFFFF" w:themeColor="background1"/>
              </w:rPr>
            </w:pPr>
            <w:r w:rsidRPr="00C95EC4">
              <w:rPr>
                <w:color w:val="FFFFFF" w:themeColor="background1"/>
                <w:highlight w:val="darkBlue"/>
              </w:rPr>
              <w:t>March 31</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089AD380" w14:textId="77777777" w:rsidR="00C95EC4" w:rsidRDefault="00C95EC4" w:rsidP="00B87415">
            <w:pPr>
              <w:spacing w:after="4"/>
              <w:ind w:left="-5"/>
            </w:pPr>
            <w:r w:rsidRPr="00C95EC4">
              <w:t>Baseline Collection data due (eligible patients March 1-May 31, 2024)</w:t>
            </w:r>
          </w:p>
          <w:p w14:paraId="681608C2" w14:textId="0B715969" w:rsidR="00A740CF" w:rsidRPr="00C95EC4" w:rsidRDefault="00A740CF" w:rsidP="00B87415">
            <w:pPr>
              <w:spacing w:after="4"/>
              <w:ind w:left="-5"/>
            </w:pPr>
          </w:p>
        </w:tc>
      </w:tr>
      <w:tr w:rsidR="00457A8D" w:rsidRPr="00B87415" w14:paraId="061CF86D"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D898D1C" w14:textId="7618A013" w:rsidR="00457A8D" w:rsidRDefault="00457A8D" w:rsidP="00B87415">
            <w:pPr>
              <w:spacing w:after="4"/>
              <w:ind w:left="-5"/>
              <w:rPr>
                <w:color w:val="FFFFFF" w:themeColor="background1"/>
              </w:rPr>
            </w:pPr>
            <w:r>
              <w:rPr>
                <w:color w:val="FFFFFF" w:themeColor="background1"/>
              </w:rPr>
              <w:t>April 30</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1CBD2B58" w14:textId="77777777" w:rsidR="00457A8D" w:rsidRDefault="00E85E49" w:rsidP="00457A8D">
            <w:pPr>
              <w:spacing w:after="4"/>
              <w:ind w:left="-5"/>
            </w:pPr>
            <w:r>
              <w:t xml:space="preserve">Pre-Survey due (sent via REDCap to primary contact) </w:t>
            </w:r>
          </w:p>
          <w:p w14:paraId="3D4B0915" w14:textId="0C157A07" w:rsidR="00A740CF" w:rsidRDefault="00A740CF" w:rsidP="00457A8D">
            <w:pPr>
              <w:spacing w:after="4"/>
              <w:ind w:left="-5"/>
            </w:pPr>
            <w:r>
              <w:t xml:space="preserve">Letter of Support DUE with first REDCap Survey </w:t>
            </w:r>
          </w:p>
          <w:p w14:paraId="60F730EE" w14:textId="06A8DC91" w:rsidR="00E85E49" w:rsidRDefault="00E85E49" w:rsidP="00457A8D">
            <w:pPr>
              <w:spacing w:after="4"/>
              <w:ind w:left="-5"/>
            </w:pPr>
            <w:r>
              <w:t xml:space="preserve">Data submission </w:t>
            </w:r>
            <w:r w:rsidR="00C95EC4">
              <w:t>examples and case study videos released</w:t>
            </w:r>
          </w:p>
        </w:tc>
      </w:tr>
      <w:tr w:rsidR="00B87415" w:rsidRPr="00B87415" w14:paraId="47DC72DE"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51C7013" w14:textId="6A309743" w:rsidR="00B87415" w:rsidRPr="00B87415" w:rsidRDefault="006D63B8" w:rsidP="00B87415">
            <w:pPr>
              <w:spacing w:after="4"/>
              <w:ind w:left="-5"/>
              <w:rPr>
                <w:color w:val="FFFFFF" w:themeColor="background1"/>
              </w:rPr>
            </w:pPr>
            <w:r>
              <w:rPr>
                <w:color w:val="FFFFFF" w:themeColor="background1"/>
              </w:rPr>
              <w:t>March-May</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5F046D28" w14:textId="21A8B99E" w:rsidR="00B87415" w:rsidRPr="00B87415" w:rsidRDefault="006D63B8" w:rsidP="00B87415">
            <w:pPr>
              <w:spacing w:after="4"/>
              <w:ind w:left="-5"/>
            </w:pPr>
            <w:r>
              <w:t xml:space="preserve">Programs complete process </w:t>
            </w:r>
            <w:proofErr w:type="gramStart"/>
            <w:r>
              <w:t>map</w:t>
            </w:r>
            <w:proofErr w:type="gramEnd"/>
            <w:r w:rsidR="00FF3D88">
              <w:t>, identify root causes</w:t>
            </w:r>
          </w:p>
        </w:tc>
      </w:tr>
      <w:tr w:rsidR="00B87415" w:rsidRPr="00B87415" w14:paraId="1D50EE97"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F2F9898" w14:textId="3D44A036" w:rsidR="00B87415" w:rsidRPr="00B87415" w:rsidRDefault="00C95EC4" w:rsidP="00B87415">
            <w:pPr>
              <w:spacing w:after="4"/>
              <w:ind w:left="-5"/>
              <w:rPr>
                <w:color w:val="FFFFFF" w:themeColor="background1"/>
              </w:rPr>
            </w:pPr>
            <w:r w:rsidRPr="00C95EC4">
              <w:rPr>
                <w:color w:val="FFFFFF" w:themeColor="background1"/>
                <w:highlight w:val="darkBlue"/>
              </w:rPr>
              <w:t>June 30</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0FFDF948" w14:textId="1BEA0C3D" w:rsidR="000F3BBE" w:rsidRPr="00B87415" w:rsidRDefault="00F337A6" w:rsidP="00CD6320">
            <w:pPr>
              <w:spacing w:after="4"/>
              <w:ind w:left="-5"/>
            </w:pPr>
            <w:r>
              <w:t xml:space="preserve">Collection </w:t>
            </w:r>
            <w:r w:rsidR="00C95EC4">
              <w:t>2</w:t>
            </w:r>
            <w:r>
              <w:t xml:space="preserve"> data due (eligible patients </w:t>
            </w:r>
            <w:r w:rsidR="00C95EC4">
              <w:t>March 1- May</w:t>
            </w:r>
            <w:r w:rsidR="00457A8D">
              <w:t xml:space="preserve"> 3</w:t>
            </w:r>
            <w:r w:rsidR="00C95EC4">
              <w:t>1</w:t>
            </w:r>
            <w:proofErr w:type="gramStart"/>
            <w:r w:rsidR="00457A8D">
              <w:t xml:space="preserve"> 2026</w:t>
            </w:r>
            <w:proofErr w:type="gramEnd"/>
            <w:r w:rsidR="00457A8D">
              <w:t>)</w:t>
            </w:r>
          </w:p>
        </w:tc>
      </w:tr>
      <w:tr w:rsidR="00332824" w:rsidRPr="00B87415" w14:paraId="77E5F768"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76975F4" w14:textId="3358CF1B" w:rsidR="00332824" w:rsidRDefault="00006CB8" w:rsidP="00B87415">
            <w:pPr>
              <w:spacing w:after="4"/>
              <w:ind w:left="-5"/>
              <w:rPr>
                <w:color w:val="FFFFFF" w:themeColor="background1"/>
              </w:rPr>
            </w:pPr>
            <w:r>
              <w:rPr>
                <w:color w:val="FFFFFF" w:themeColor="background1"/>
              </w:rPr>
              <w:t>June</w:t>
            </w:r>
            <w:r w:rsidR="00933B1D">
              <w:rPr>
                <w:color w:val="FFFFFF" w:themeColor="background1"/>
              </w:rPr>
              <w:t>-</w:t>
            </w:r>
            <w:r w:rsidR="00AF21AB">
              <w:rPr>
                <w:color w:val="FFFFFF" w:themeColor="background1"/>
              </w:rPr>
              <w:t>August</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63DEDD8B" w14:textId="181B25A4" w:rsidR="00332824" w:rsidRDefault="00933B1D" w:rsidP="006F467F">
            <w:pPr>
              <w:spacing w:after="4"/>
              <w:ind w:left="-5"/>
            </w:pPr>
            <w:r>
              <w:t>Programs develop interventions based on root cause; develop a future state map</w:t>
            </w:r>
          </w:p>
        </w:tc>
      </w:tr>
      <w:tr w:rsidR="00A2188F" w:rsidRPr="00B87415" w14:paraId="3BA79BBF"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FE20EBA" w14:textId="77777777" w:rsidR="00A2188F" w:rsidRDefault="00EE2811" w:rsidP="00B87415">
            <w:pPr>
              <w:spacing w:after="4"/>
              <w:ind w:left="-5"/>
              <w:rPr>
                <w:color w:val="FFFFFF" w:themeColor="background1"/>
              </w:rPr>
            </w:pPr>
            <w:r>
              <w:rPr>
                <w:color w:val="FFFFFF" w:themeColor="background1"/>
              </w:rPr>
              <w:t>August 14, 2026</w:t>
            </w:r>
          </w:p>
          <w:p w14:paraId="06BA891F" w14:textId="1A472BBC" w:rsidR="00EE2811" w:rsidRPr="003D656B" w:rsidRDefault="00EE2811" w:rsidP="00B87415">
            <w:pPr>
              <w:spacing w:after="4"/>
              <w:ind w:left="-5"/>
              <w:rPr>
                <w:color w:val="FFFFFF" w:themeColor="background1"/>
              </w:rPr>
            </w:pPr>
            <w:r>
              <w:rPr>
                <w:color w:val="FFFFFF" w:themeColor="background1"/>
              </w:rPr>
              <w:t>1</w:t>
            </w:r>
            <w:r w:rsidR="00457A8D">
              <w:rPr>
                <w:color w:val="FFFFFF" w:themeColor="background1"/>
              </w:rPr>
              <w:t>1a</w:t>
            </w:r>
            <w:r>
              <w:rPr>
                <w:color w:val="FFFFFF" w:themeColor="background1"/>
              </w:rPr>
              <w:t>m CT</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3D2B27EE" w14:textId="3C8AF9D2" w:rsidR="00BE12EE" w:rsidRPr="00C95EC4" w:rsidRDefault="00BE12EE" w:rsidP="006F467F">
            <w:pPr>
              <w:spacing w:after="4"/>
              <w:ind w:left="-5"/>
              <w:rPr>
                <w:b/>
                <w:bCs/>
              </w:rPr>
            </w:pPr>
            <w:r w:rsidRPr="00C95EC4">
              <w:rPr>
                <w:b/>
                <w:bCs/>
              </w:rPr>
              <w:t>Collaborative cal</w:t>
            </w:r>
            <w:r w:rsidR="006F467F" w:rsidRPr="00C95EC4">
              <w:rPr>
                <w:b/>
                <w:bCs/>
              </w:rPr>
              <w:t>l</w:t>
            </w:r>
            <w:r w:rsidR="00610D0C" w:rsidRPr="00C95EC4">
              <w:rPr>
                <w:b/>
                <w:bCs/>
              </w:rPr>
              <w:t xml:space="preserve"> 2</w:t>
            </w:r>
          </w:p>
        </w:tc>
      </w:tr>
      <w:tr w:rsidR="00C95EC4" w:rsidRPr="00B87415" w14:paraId="23C38681"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9275505" w14:textId="310F6F30" w:rsidR="00C95EC4" w:rsidRDefault="00C95EC4" w:rsidP="00B87415">
            <w:pPr>
              <w:spacing w:after="4"/>
              <w:ind w:left="-5"/>
              <w:rPr>
                <w:color w:val="FFFFFF" w:themeColor="background1"/>
              </w:rPr>
            </w:pPr>
            <w:r>
              <w:rPr>
                <w:color w:val="FFFFFF" w:themeColor="background1"/>
              </w:rPr>
              <w:t>August 31</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14F55B7D" w14:textId="1FCEB8B6" w:rsidR="00C95EC4" w:rsidRPr="00C95EC4" w:rsidRDefault="00C95EC4" w:rsidP="006F467F">
            <w:pPr>
              <w:spacing w:after="4"/>
              <w:ind w:left="-5"/>
            </w:pPr>
            <w:proofErr w:type="spellStart"/>
            <w:r w:rsidRPr="00C95EC4">
              <w:t>Mid Year</w:t>
            </w:r>
            <w:proofErr w:type="spellEnd"/>
            <w:r w:rsidRPr="00C95EC4">
              <w:t xml:space="preserve"> survey due (sent via REDCap to primary contact)</w:t>
            </w:r>
          </w:p>
        </w:tc>
      </w:tr>
      <w:tr w:rsidR="00C95EC4" w:rsidRPr="00B87415" w14:paraId="2AAAFEF0"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8CE4C83" w14:textId="6FE252EE" w:rsidR="00C95EC4" w:rsidRDefault="00C95EC4" w:rsidP="00B87415">
            <w:pPr>
              <w:spacing w:after="4"/>
              <w:ind w:left="-5"/>
              <w:rPr>
                <w:color w:val="FFFFFF" w:themeColor="background1"/>
              </w:rPr>
            </w:pPr>
            <w:r w:rsidRPr="00C95EC4">
              <w:rPr>
                <w:color w:val="FFFFFF" w:themeColor="background1"/>
                <w:highlight w:val="darkBlue"/>
              </w:rPr>
              <w:t>September 30</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1D5A4237" w14:textId="6B10EFE4" w:rsidR="00C95EC4" w:rsidRDefault="00C95EC4" w:rsidP="00B87415">
            <w:pPr>
              <w:spacing w:after="4"/>
              <w:ind w:left="-5"/>
            </w:pPr>
            <w:r>
              <w:t>Collection 3 data due (eligible patients June 1-August 31, 2026)</w:t>
            </w:r>
          </w:p>
        </w:tc>
      </w:tr>
      <w:tr w:rsidR="00006CB8" w:rsidRPr="00B87415" w14:paraId="4DABA67F"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27ED584" w14:textId="39935D26" w:rsidR="00006CB8" w:rsidRPr="00096E90" w:rsidRDefault="00AF21AB" w:rsidP="00B87415">
            <w:pPr>
              <w:spacing w:after="4"/>
              <w:ind w:left="-5"/>
              <w:rPr>
                <w:color w:val="FFFFFF" w:themeColor="background1"/>
              </w:rPr>
            </w:pPr>
            <w:r>
              <w:rPr>
                <w:color w:val="FFFFFF" w:themeColor="background1"/>
              </w:rPr>
              <w:lastRenderedPageBreak/>
              <w:t>September-November</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56D1E784" w14:textId="407B6337" w:rsidR="00006CB8" w:rsidRDefault="00AF21AB" w:rsidP="00B87415">
            <w:pPr>
              <w:spacing w:after="4"/>
              <w:ind w:left="-5"/>
            </w:pPr>
            <w:r>
              <w:t>Programs implement interventions</w:t>
            </w:r>
          </w:p>
        </w:tc>
      </w:tr>
      <w:tr w:rsidR="00D736FE" w:rsidRPr="00B87415" w14:paraId="0248C6B5"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EF0ADFB" w14:textId="03289F35" w:rsidR="00D736FE" w:rsidRPr="00C95EC4" w:rsidRDefault="00D736FE" w:rsidP="00D736FE">
            <w:pPr>
              <w:spacing w:after="4"/>
              <w:ind w:left="-5"/>
              <w:rPr>
                <w:color w:val="FFFFFF" w:themeColor="background1"/>
                <w:highlight w:val="darkBlue"/>
              </w:rPr>
            </w:pPr>
            <w:r w:rsidRPr="00C95EC4">
              <w:rPr>
                <w:color w:val="FFFFFF" w:themeColor="background1"/>
              </w:rPr>
              <w:t>November 13, 2026</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124F2B9C" w14:textId="366A17E3" w:rsidR="00D736FE" w:rsidRPr="00C95EC4" w:rsidRDefault="00D736FE" w:rsidP="00D736FE">
            <w:pPr>
              <w:spacing w:after="4"/>
              <w:ind w:left="-5"/>
              <w:rPr>
                <w:b/>
                <w:bCs/>
              </w:rPr>
            </w:pPr>
            <w:r w:rsidRPr="00C95EC4">
              <w:rPr>
                <w:b/>
                <w:bCs/>
              </w:rPr>
              <w:t>Collaborative Call 3</w:t>
            </w:r>
          </w:p>
        </w:tc>
      </w:tr>
      <w:tr w:rsidR="00C95EC4" w:rsidRPr="00B87415" w14:paraId="68C1ED08" w14:textId="77777777" w:rsidTr="000B5C30">
        <w:trPr>
          <w:trHeight w:val="664"/>
        </w:trPr>
        <w:tc>
          <w:tcPr>
            <w:tcW w:w="22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7ADC997" w14:textId="57B5E05C" w:rsidR="00C95EC4" w:rsidRPr="00C95EC4" w:rsidRDefault="00C95EC4" w:rsidP="00D736FE">
            <w:pPr>
              <w:spacing w:after="4"/>
              <w:ind w:left="-5"/>
              <w:rPr>
                <w:color w:val="FFFFFF" w:themeColor="background1"/>
                <w:highlight w:val="darkBlue"/>
              </w:rPr>
            </w:pPr>
            <w:r w:rsidRPr="00C95EC4">
              <w:rPr>
                <w:color w:val="FFFFFF" w:themeColor="background1"/>
                <w:highlight w:val="darkBlue"/>
              </w:rPr>
              <w:t>December 31</w:t>
            </w:r>
          </w:p>
        </w:tc>
        <w:tc>
          <w:tcPr>
            <w:tcW w:w="827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7234761C" w14:textId="77777777" w:rsidR="00C95EC4" w:rsidRDefault="00C95EC4" w:rsidP="00D736FE">
            <w:pPr>
              <w:spacing w:after="4"/>
              <w:ind w:left="-5"/>
            </w:pPr>
            <w:r w:rsidRPr="00C95EC4">
              <w:t>Collection 4</w:t>
            </w:r>
            <w:r>
              <w:t xml:space="preserve"> data due (eligible patients Sept 1-Nov 30, 2026)</w:t>
            </w:r>
          </w:p>
          <w:p w14:paraId="111B8B76" w14:textId="1CEB276F" w:rsidR="003C100D" w:rsidRPr="00C95EC4" w:rsidRDefault="003C100D" w:rsidP="00D736FE">
            <w:pPr>
              <w:spacing w:after="4"/>
              <w:ind w:left="-5"/>
            </w:pPr>
            <w:r>
              <w:t>Final Survey Due</w:t>
            </w:r>
          </w:p>
        </w:tc>
      </w:tr>
    </w:tbl>
    <w:p w14:paraId="2A1E7B29" w14:textId="77777777" w:rsidR="00C55917" w:rsidRPr="0087745C" w:rsidRDefault="00C55917" w:rsidP="00295FAA">
      <w:pPr>
        <w:spacing w:after="4"/>
        <w:ind w:left="-5"/>
      </w:pPr>
    </w:p>
    <w:p w14:paraId="1536F3E2" w14:textId="77777777" w:rsidR="00C55917" w:rsidRPr="0087745C" w:rsidRDefault="00C55917" w:rsidP="00295FAA">
      <w:pPr>
        <w:spacing w:after="4"/>
        <w:ind w:left="-5"/>
      </w:pPr>
    </w:p>
    <w:p w14:paraId="3CD4997E" w14:textId="6554D70E" w:rsidR="002A3CCF" w:rsidRDefault="002A3CCF" w:rsidP="00B87415">
      <w:pPr>
        <w:spacing w:after="4"/>
        <w:ind w:left="0"/>
      </w:pPr>
      <w:r w:rsidRPr="0087745C">
        <w:t xml:space="preserve">Optional and as needed “office hours” </w:t>
      </w:r>
      <w:r w:rsidRPr="002A3CCF">
        <w:t>will be offered</w:t>
      </w:r>
    </w:p>
    <w:p w14:paraId="77C18A52" w14:textId="77777777" w:rsidR="00AA239B" w:rsidRDefault="00AA239B" w:rsidP="00AA239B">
      <w:pPr>
        <w:ind w:left="0"/>
      </w:pPr>
    </w:p>
    <w:p w14:paraId="61CE3CD7" w14:textId="11BF6CE7" w:rsidR="00AA239B" w:rsidRDefault="00AA239B" w:rsidP="00AA239B">
      <w:pPr>
        <w:ind w:left="0"/>
        <w:rPr>
          <w:b/>
          <w:bCs/>
          <w:u w:val="single"/>
        </w:rPr>
      </w:pPr>
      <w:r w:rsidRPr="14CB1C63">
        <w:rPr>
          <w:b/>
          <w:bCs/>
          <w:u w:val="single"/>
        </w:rPr>
        <w:t>References:</w:t>
      </w:r>
    </w:p>
    <w:p w14:paraId="4000EEF4"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DeGeorge KC, Holt HR, Hodges SC. Bladder Cancer: Diagnosis and Treatment. </w:t>
      </w:r>
      <w:proofErr w:type="gramStart"/>
      <w:r w:rsidRPr="14CB1C63">
        <w:rPr>
          <w:rFonts w:ascii="Arial" w:eastAsia="Arial" w:hAnsi="Arial" w:cs="Arial"/>
        </w:rPr>
        <w:t>Am</w:t>
      </w:r>
      <w:proofErr w:type="gramEnd"/>
      <w:r w:rsidRPr="14CB1C63">
        <w:rPr>
          <w:rFonts w:ascii="Arial" w:eastAsia="Arial" w:hAnsi="Arial" w:cs="Arial"/>
        </w:rPr>
        <w:t xml:space="preserve"> Fam Physician. 2017 Oct 15;96(8):507-514. PMID: 29094888.</w:t>
      </w:r>
    </w:p>
    <w:p w14:paraId="7EDBE13A"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Tian J, Sun J, Fu G, Xu Z, Chen X, Shi Y, Jin B. Population-based outcome of muscle-invasive bladder cancer following radical cystectomy: who can benefit from adjuvant chemotherapy? </w:t>
      </w:r>
      <w:proofErr w:type="spellStart"/>
      <w:r w:rsidRPr="14CB1C63">
        <w:rPr>
          <w:rFonts w:ascii="Arial" w:eastAsia="Arial" w:hAnsi="Arial" w:cs="Arial"/>
        </w:rPr>
        <w:t>Transl</w:t>
      </w:r>
      <w:proofErr w:type="spellEnd"/>
      <w:r w:rsidRPr="14CB1C63">
        <w:rPr>
          <w:rFonts w:ascii="Arial" w:eastAsia="Arial" w:hAnsi="Arial" w:cs="Arial"/>
        </w:rPr>
        <w:t xml:space="preserve"> </w:t>
      </w:r>
      <w:proofErr w:type="spellStart"/>
      <w:r w:rsidRPr="14CB1C63">
        <w:rPr>
          <w:rFonts w:ascii="Arial" w:eastAsia="Arial" w:hAnsi="Arial" w:cs="Arial"/>
        </w:rPr>
        <w:t>Androl</w:t>
      </w:r>
      <w:proofErr w:type="spellEnd"/>
      <w:r w:rsidRPr="14CB1C63">
        <w:rPr>
          <w:rFonts w:ascii="Arial" w:eastAsia="Arial" w:hAnsi="Arial" w:cs="Arial"/>
        </w:rPr>
        <w:t xml:space="preserve"> Urol. 2021 Jan;10(1):356-373. </w:t>
      </w:r>
      <w:proofErr w:type="spellStart"/>
      <w:r w:rsidRPr="14CB1C63">
        <w:rPr>
          <w:rFonts w:ascii="Arial" w:eastAsia="Arial" w:hAnsi="Arial" w:cs="Arial"/>
        </w:rPr>
        <w:t>doi</w:t>
      </w:r>
      <w:proofErr w:type="spellEnd"/>
      <w:r w:rsidRPr="14CB1C63">
        <w:rPr>
          <w:rFonts w:ascii="Arial" w:eastAsia="Arial" w:hAnsi="Arial" w:cs="Arial"/>
        </w:rPr>
        <w:t>: 10.21037/tau-20-960. PMID: 33532324; PMCID: PMC7844522.</w:t>
      </w:r>
    </w:p>
    <w:p w14:paraId="545C5F10"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Messing EM, Tangen CM, Lerner SP, et al. Effect of Intravesical Instillation of Gemcitabine vs Saline Immediately Following Resection of Suspected Low-Grade Non–Muscle-Invasive Bladder Cancer on Tumor Recurrence: SWOG S0337 Randomized Clinical Trial. </w:t>
      </w:r>
      <w:proofErr w:type="gramStart"/>
      <w:r w:rsidRPr="14CB1C63">
        <w:rPr>
          <w:rFonts w:ascii="Arial" w:eastAsia="Arial" w:hAnsi="Arial" w:cs="Arial"/>
          <w:i/>
          <w:iCs/>
        </w:rPr>
        <w:t>JAMA :</w:t>
      </w:r>
      <w:proofErr w:type="gramEnd"/>
      <w:r w:rsidRPr="14CB1C63">
        <w:rPr>
          <w:rFonts w:ascii="Arial" w:eastAsia="Arial" w:hAnsi="Arial" w:cs="Arial"/>
          <w:i/>
          <w:iCs/>
        </w:rPr>
        <w:t xml:space="preserve"> the journal of the American Medical Association</w:t>
      </w:r>
      <w:r w:rsidRPr="14CB1C63">
        <w:rPr>
          <w:rFonts w:ascii="Arial" w:eastAsia="Arial" w:hAnsi="Arial" w:cs="Arial"/>
        </w:rPr>
        <w:t>. 2018;319(18):1880-1888. doi:10.1001/jama.2018.4657</w:t>
      </w:r>
    </w:p>
    <w:p w14:paraId="76B7BF5A" w14:textId="77777777" w:rsidR="00AA239B" w:rsidRDefault="00AA239B" w:rsidP="00AA239B">
      <w:pPr>
        <w:pStyle w:val="ListParagraph"/>
        <w:numPr>
          <w:ilvl w:val="0"/>
          <w:numId w:val="22"/>
        </w:numPr>
        <w:spacing w:after="0" w:line="276" w:lineRule="auto"/>
        <w:rPr>
          <w:rFonts w:ascii="Arial" w:eastAsia="Arial" w:hAnsi="Arial" w:cs="Arial"/>
        </w:rPr>
      </w:pPr>
      <w:proofErr w:type="spellStart"/>
      <w:r w:rsidRPr="14CB1C63">
        <w:rPr>
          <w:rFonts w:ascii="Arial" w:eastAsia="Arial" w:hAnsi="Arial" w:cs="Arial"/>
        </w:rPr>
        <w:t>Oosterlinck</w:t>
      </w:r>
      <w:proofErr w:type="spellEnd"/>
      <w:r w:rsidRPr="14CB1C63">
        <w:rPr>
          <w:rFonts w:ascii="Arial" w:eastAsia="Arial" w:hAnsi="Arial" w:cs="Arial"/>
        </w:rPr>
        <w:t xml:space="preserve"> W, Kurth KH, Schröder F, Bultinck J, Hammond B, Sylvester R. A Prospective European Organization for Research and Treatment of Cancer Genitourinary Group Randomized Trial Comparing Transurethral Resection Followed by a Single Intravesical Instillation of Epirubicin or Water in Single Stage Ta, T1 Papillary Carcinoma of the Bladder. </w:t>
      </w:r>
      <w:r w:rsidRPr="14CB1C63">
        <w:rPr>
          <w:rFonts w:ascii="Arial" w:eastAsia="Arial" w:hAnsi="Arial" w:cs="Arial"/>
          <w:i/>
          <w:iCs/>
        </w:rPr>
        <w:t>Journal of Urology</w:t>
      </w:r>
      <w:r w:rsidRPr="14CB1C63">
        <w:rPr>
          <w:rFonts w:ascii="Arial" w:eastAsia="Arial" w:hAnsi="Arial" w:cs="Arial"/>
        </w:rPr>
        <w:t>. 1993;149(4):749-752. doi:10.1016/S0022-5347(17)36198-0</w:t>
      </w:r>
    </w:p>
    <w:p w14:paraId="0234D809"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SOLSONA E, IBORRA I, RICOS JV, MONROS JL, CASANOVA J, DUMONT R. EFFECTIVENESS OF A SINGLE IMMEDIATE MITOMYCIN C INSTILLATION IN PATIENTS WITH </w:t>
      </w:r>
      <w:proofErr w:type="gramStart"/>
      <w:r w:rsidRPr="14CB1C63">
        <w:rPr>
          <w:rFonts w:ascii="Arial" w:eastAsia="Arial" w:hAnsi="Arial" w:cs="Arial"/>
        </w:rPr>
        <w:t>LOW RISK</w:t>
      </w:r>
      <w:proofErr w:type="gramEnd"/>
      <w:r w:rsidRPr="14CB1C63">
        <w:rPr>
          <w:rFonts w:ascii="Arial" w:eastAsia="Arial" w:hAnsi="Arial" w:cs="Arial"/>
        </w:rPr>
        <w:t xml:space="preserve"> SUPERFICIAL BLADDER CANCER: SHORT AND LONG-TERM FOLLOWUP. </w:t>
      </w:r>
      <w:r w:rsidRPr="14CB1C63">
        <w:rPr>
          <w:rFonts w:ascii="Arial" w:eastAsia="Arial" w:hAnsi="Arial" w:cs="Arial"/>
          <w:i/>
          <w:iCs/>
        </w:rPr>
        <w:t>The Journal of urology</w:t>
      </w:r>
      <w:r w:rsidRPr="14CB1C63">
        <w:rPr>
          <w:rFonts w:ascii="Arial" w:eastAsia="Arial" w:hAnsi="Arial" w:cs="Arial"/>
        </w:rPr>
        <w:t>. 1999;161(4):1120-1123. doi:10.1016/S0022-5347(01)61606-9</w:t>
      </w:r>
    </w:p>
    <w:p w14:paraId="405079F5"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Tolley DA, Parmar MK, Grigor KM, et al. The effect of intravesical mitomycin C on recurrence of newly diagnosed superficial bladder cancer: a further report with 7 years of follow up. </w:t>
      </w:r>
      <w:r w:rsidRPr="14CB1C63">
        <w:rPr>
          <w:rFonts w:ascii="Arial" w:eastAsia="Arial" w:hAnsi="Arial" w:cs="Arial"/>
          <w:i/>
          <w:iCs/>
        </w:rPr>
        <w:t>The Journal of urology</w:t>
      </w:r>
      <w:r w:rsidRPr="14CB1C63">
        <w:rPr>
          <w:rFonts w:ascii="Arial" w:eastAsia="Arial" w:hAnsi="Arial" w:cs="Arial"/>
        </w:rPr>
        <w:t>. 1996;155(4):1233-1238.</w:t>
      </w:r>
    </w:p>
    <w:p w14:paraId="6A6377AE" w14:textId="77777777" w:rsidR="00AA239B" w:rsidRDefault="00AA239B" w:rsidP="00AA239B">
      <w:pPr>
        <w:pStyle w:val="ListParagraph"/>
        <w:numPr>
          <w:ilvl w:val="0"/>
          <w:numId w:val="22"/>
        </w:numPr>
        <w:spacing w:after="0" w:line="276" w:lineRule="auto"/>
        <w:rPr>
          <w:rFonts w:ascii="Arial" w:eastAsia="Arial" w:hAnsi="Arial" w:cs="Arial"/>
          <w:color w:val="000000" w:themeColor="text1"/>
        </w:rPr>
      </w:pPr>
      <w:r w:rsidRPr="14CB1C63">
        <w:rPr>
          <w:rFonts w:ascii="Arial" w:eastAsia="Arial" w:hAnsi="Arial" w:cs="Arial"/>
          <w:color w:val="000000" w:themeColor="text1"/>
        </w:rPr>
        <w:t xml:space="preserve">Abern MR, Owusu RA, Anderson MR, Rampersaud EN, Inman BA. Perioperative intravesical chemotherapy in non-muscle-invasive bladder cancer: a systematic review and meta-analysis. J Natl </w:t>
      </w:r>
      <w:proofErr w:type="spellStart"/>
      <w:r w:rsidRPr="14CB1C63">
        <w:rPr>
          <w:rFonts w:ascii="Arial" w:eastAsia="Arial" w:hAnsi="Arial" w:cs="Arial"/>
          <w:color w:val="000000" w:themeColor="text1"/>
        </w:rPr>
        <w:t>Compr</w:t>
      </w:r>
      <w:proofErr w:type="spellEnd"/>
      <w:r w:rsidRPr="14CB1C63">
        <w:rPr>
          <w:rFonts w:ascii="Arial" w:eastAsia="Arial" w:hAnsi="Arial" w:cs="Arial"/>
          <w:color w:val="000000" w:themeColor="text1"/>
        </w:rPr>
        <w:t xml:space="preserve"> </w:t>
      </w:r>
      <w:proofErr w:type="spellStart"/>
      <w:r w:rsidRPr="14CB1C63">
        <w:rPr>
          <w:rFonts w:ascii="Arial" w:eastAsia="Arial" w:hAnsi="Arial" w:cs="Arial"/>
          <w:color w:val="000000" w:themeColor="text1"/>
        </w:rPr>
        <w:t>Canc</w:t>
      </w:r>
      <w:proofErr w:type="spellEnd"/>
      <w:r w:rsidRPr="14CB1C63">
        <w:rPr>
          <w:rFonts w:ascii="Arial" w:eastAsia="Arial" w:hAnsi="Arial" w:cs="Arial"/>
          <w:color w:val="000000" w:themeColor="text1"/>
        </w:rPr>
        <w:t xml:space="preserve"> </w:t>
      </w:r>
      <w:proofErr w:type="spellStart"/>
      <w:r w:rsidRPr="14CB1C63">
        <w:rPr>
          <w:rFonts w:ascii="Arial" w:eastAsia="Arial" w:hAnsi="Arial" w:cs="Arial"/>
          <w:color w:val="000000" w:themeColor="text1"/>
        </w:rPr>
        <w:t>Netw</w:t>
      </w:r>
      <w:proofErr w:type="spellEnd"/>
      <w:r w:rsidRPr="14CB1C63">
        <w:rPr>
          <w:rFonts w:ascii="Arial" w:eastAsia="Arial" w:hAnsi="Arial" w:cs="Arial"/>
          <w:color w:val="000000" w:themeColor="text1"/>
        </w:rPr>
        <w:t xml:space="preserve">. 2013 Apr 1;11(4):477-84. </w:t>
      </w:r>
      <w:proofErr w:type="spellStart"/>
      <w:r w:rsidRPr="14CB1C63">
        <w:rPr>
          <w:rFonts w:ascii="Arial" w:eastAsia="Arial" w:hAnsi="Arial" w:cs="Arial"/>
          <w:color w:val="000000" w:themeColor="text1"/>
        </w:rPr>
        <w:t>doi</w:t>
      </w:r>
      <w:proofErr w:type="spellEnd"/>
      <w:r w:rsidRPr="14CB1C63">
        <w:rPr>
          <w:rFonts w:ascii="Arial" w:eastAsia="Arial" w:hAnsi="Arial" w:cs="Arial"/>
          <w:color w:val="000000" w:themeColor="text1"/>
        </w:rPr>
        <w:t>: 10.6004/jnccn.2013.0060. PMID: 23584348.</w:t>
      </w:r>
    </w:p>
    <w:p w14:paraId="04F35097" w14:textId="77777777" w:rsidR="00AA239B" w:rsidRDefault="00AA239B" w:rsidP="00AA239B">
      <w:pPr>
        <w:pStyle w:val="ListParagraph"/>
        <w:numPr>
          <w:ilvl w:val="0"/>
          <w:numId w:val="22"/>
        </w:numPr>
        <w:spacing w:after="0" w:line="276" w:lineRule="auto"/>
        <w:rPr>
          <w:rFonts w:ascii="Arial" w:eastAsia="Arial" w:hAnsi="Arial" w:cs="Arial"/>
          <w:color w:val="000000" w:themeColor="text1"/>
        </w:rPr>
      </w:pPr>
      <w:r w:rsidRPr="14CB1C63">
        <w:rPr>
          <w:rFonts w:ascii="Arial" w:eastAsia="Arial" w:hAnsi="Arial" w:cs="Arial"/>
          <w:color w:val="000000" w:themeColor="text1"/>
        </w:rPr>
        <w:t xml:space="preserve">Perlis N, </w:t>
      </w:r>
      <w:proofErr w:type="spellStart"/>
      <w:r w:rsidRPr="14CB1C63">
        <w:rPr>
          <w:rFonts w:ascii="Arial" w:eastAsia="Arial" w:hAnsi="Arial" w:cs="Arial"/>
          <w:color w:val="000000" w:themeColor="text1"/>
        </w:rPr>
        <w:t>Zlotta</w:t>
      </w:r>
      <w:proofErr w:type="spellEnd"/>
      <w:r w:rsidRPr="14CB1C63">
        <w:rPr>
          <w:rFonts w:ascii="Arial" w:eastAsia="Arial" w:hAnsi="Arial" w:cs="Arial"/>
          <w:color w:val="000000" w:themeColor="text1"/>
        </w:rPr>
        <w:t xml:space="preserve"> AR, Beyene J, Finelli A, Fleshner NE, Kulkarni GS. Immediate post-transurethral resection of bladder tumor intravesical chemotherapy prevents non-muscle-invasive bladder cancer recurrences: an updated meta-analysis on 2548 patients and quality-of-evidence review. </w:t>
      </w:r>
      <w:proofErr w:type="spellStart"/>
      <w:r w:rsidRPr="14CB1C63">
        <w:rPr>
          <w:rFonts w:ascii="Arial" w:eastAsia="Arial" w:hAnsi="Arial" w:cs="Arial"/>
          <w:color w:val="000000" w:themeColor="text1"/>
        </w:rPr>
        <w:t>Eur</w:t>
      </w:r>
      <w:proofErr w:type="spellEnd"/>
      <w:r w:rsidRPr="14CB1C63">
        <w:rPr>
          <w:rFonts w:ascii="Arial" w:eastAsia="Arial" w:hAnsi="Arial" w:cs="Arial"/>
          <w:color w:val="000000" w:themeColor="text1"/>
        </w:rPr>
        <w:t xml:space="preserve"> Urol. 2013 Sep;64(3):421-30. </w:t>
      </w:r>
      <w:proofErr w:type="spellStart"/>
      <w:r w:rsidRPr="14CB1C63">
        <w:rPr>
          <w:rFonts w:ascii="Arial" w:eastAsia="Arial" w:hAnsi="Arial" w:cs="Arial"/>
          <w:color w:val="000000" w:themeColor="text1"/>
        </w:rPr>
        <w:t>doi</w:t>
      </w:r>
      <w:proofErr w:type="spellEnd"/>
      <w:r w:rsidRPr="14CB1C63">
        <w:rPr>
          <w:rFonts w:ascii="Arial" w:eastAsia="Arial" w:hAnsi="Arial" w:cs="Arial"/>
          <w:color w:val="000000" w:themeColor="text1"/>
        </w:rPr>
        <w:t xml:space="preserve">: 10.1016/j.eururo.2013.06.009. </w:t>
      </w:r>
      <w:proofErr w:type="spellStart"/>
      <w:r w:rsidRPr="14CB1C63">
        <w:rPr>
          <w:rFonts w:ascii="Arial" w:eastAsia="Arial" w:hAnsi="Arial" w:cs="Arial"/>
          <w:color w:val="000000" w:themeColor="text1"/>
        </w:rPr>
        <w:t>Epub</w:t>
      </w:r>
      <w:proofErr w:type="spellEnd"/>
      <w:r w:rsidRPr="14CB1C63">
        <w:rPr>
          <w:rFonts w:ascii="Arial" w:eastAsia="Arial" w:hAnsi="Arial" w:cs="Arial"/>
          <w:color w:val="000000" w:themeColor="text1"/>
        </w:rPr>
        <w:t xml:space="preserve"> 2013 Jun 19. PMID: 23830475.</w:t>
      </w:r>
    </w:p>
    <w:p w14:paraId="0567666F"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lastRenderedPageBreak/>
        <w:t>AUA/SUO Guideline: 2024 Amendment. J Urol. 2024 Apr;211(4):533-538.</w:t>
      </w:r>
    </w:p>
    <w:p w14:paraId="6AD15EED"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Gurski, L. A. (2024). NCCN Guidelines® Insights: Bladder Cancer, Version 3.2024. Journal of the National Comprehensive Cancer </w:t>
      </w:r>
      <w:proofErr w:type="gramStart"/>
      <w:r w:rsidRPr="14CB1C63">
        <w:rPr>
          <w:rFonts w:ascii="Arial" w:eastAsia="Arial" w:hAnsi="Arial" w:cs="Arial"/>
        </w:rPr>
        <w:t>Network :</w:t>
      </w:r>
      <w:proofErr w:type="gramEnd"/>
      <w:r w:rsidRPr="14CB1C63">
        <w:rPr>
          <w:rFonts w:ascii="Arial" w:eastAsia="Arial" w:hAnsi="Arial" w:cs="Arial"/>
        </w:rPr>
        <w:t xml:space="preserve"> JNCCN, 22(4), 216-225.</w:t>
      </w:r>
    </w:p>
    <w:p w14:paraId="7D33A98C"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Dahmen AS, Nusbaum DJ, </w:t>
      </w:r>
      <w:proofErr w:type="spellStart"/>
      <w:r w:rsidRPr="14CB1C63">
        <w:rPr>
          <w:rFonts w:ascii="Arial" w:eastAsia="Arial" w:hAnsi="Arial" w:cs="Arial"/>
        </w:rPr>
        <w:t>Lazarovich</w:t>
      </w:r>
      <w:proofErr w:type="spellEnd"/>
      <w:r w:rsidRPr="14CB1C63">
        <w:rPr>
          <w:rFonts w:ascii="Arial" w:eastAsia="Arial" w:hAnsi="Arial" w:cs="Arial"/>
        </w:rPr>
        <w:t xml:space="preserve"> A, Fialkoff J, Modi PK, Agarwal PK. Trends in the use of immediate postoperative intravesical chemotherapy following transurethral resection of bladder tumors. </w:t>
      </w:r>
      <w:r w:rsidRPr="14CB1C63">
        <w:rPr>
          <w:rFonts w:ascii="Arial" w:eastAsia="Arial" w:hAnsi="Arial" w:cs="Arial"/>
          <w:i/>
          <w:iCs/>
        </w:rPr>
        <w:t>Urologic oncology</w:t>
      </w:r>
      <w:r w:rsidRPr="14CB1C63">
        <w:rPr>
          <w:rFonts w:ascii="Arial" w:eastAsia="Arial" w:hAnsi="Arial" w:cs="Arial"/>
        </w:rPr>
        <w:t>. 2025;43(1):</w:t>
      </w:r>
      <w:proofErr w:type="gramStart"/>
      <w:r w:rsidRPr="14CB1C63">
        <w:rPr>
          <w:rFonts w:ascii="Arial" w:eastAsia="Arial" w:hAnsi="Arial" w:cs="Arial"/>
        </w:rPr>
        <w:t>62.e</w:t>
      </w:r>
      <w:proofErr w:type="gramEnd"/>
      <w:r w:rsidRPr="14CB1C63">
        <w:rPr>
          <w:rFonts w:ascii="Arial" w:eastAsia="Arial" w:hAnsi="Arial" w:cs="Arial"/>
        </w:rPr>
        <w:t>7-</w:t>
      </w:r>
      <w:proofErr w:type="gramStart"/>
      <w:r w:rsidRPr="14CB1C63">
        <w:rPr>
          <w:rFonts w:ascii="Arial" w:eastAsia="Arial" w:hAnsi="Arial" w:cs="Arial"/>
        </w:rPr>
        <w:t>62.e</w:t>
      </w:r>
      <w:proofErr w:type="gramEnd"/>
      <w:r w:rsidRPr="14CB1C63">
        <w:rPr>
          <w:rFonts w:ascii="Arial" w:eastAsia="Arial" w:hAnsi="Arial" w:cs="Arial"/>
        </w:rPr>
        <w:t xml:space="preserve">13. </w:t>
      </w:r>
      <w:proofErr w:type="gramStart"/>
      <w:r w:rsidRPr="14CB1C63">
        <w:rPr>
          <w:rFonts w:ascii="Arial" w:eastAsia="Arial" w:hAnsi="Arial" w:cs="Arial"/>
        </w:rPr>
        <w:t>doi:10.1016/j.urolonc</w:t>
      </w:r>
      <w:proofErr w:type="gramEnd"/>
      <w:r w:rsidRPr="14CB1C63">
        <w:rPr>
          <w:rFonts w:ascii="Arial" w:eastAsia="Arial" w:hAnsi="Arial" w:cs="Arial"/>
        </w:rPr>
        <w:t>.2024.07.016</w:t>
      </w:r>
    </w:p>
    <w:p w14:paraId="41FC5F03" w14:textId="77777777" w:rsidR="00AA239B" w:rsidRDefault="00AA239B" w:rsidP="00AA239B">
      <w:pPr>
        <w:pStyle w:val="ListParagraph"/>
        <w:numPr>
          <w:ilvl w:val="0"/>
          <w:numId w:val="22"/>
        </w:numPr>
        <w:spacing w:after="0" w:line="276" w:lineRule="auto"/>
        <w:rPr>
          <w:rFonts w:ascii="Arial" w:eastAsia="Arial" w:hAnsi="Arial" w:cs="Arial"/>
        </w:rPr>
      </w:pPr>
      <w:r w:rsidRPr="14CB1C63">
        <w:rPr>
          <w:rFonts w:ascii="Arial" w:eastAsia="Arial" w:hAnsi="Arial" w:cs="Arial"/>
        </w:rPr>
        <w:t xml:space="preserve">Cookson MS, Chang SS, Oefelein MG, Gallagher JR, Schwartz B, Heap K. National Practice Patterns for Immediate Postoperative Instillation of Chemotherapy in </w:t>
      </w:r>
      <w:proofErr w:type="spellStart"/>
      <w:r w:rsidRPr="14CB1C63">
        <w:rPr>
          <w:rFonts w:ascii="Arial" w:eastAsia="Arial" w:hAnsi="Arial" w:cs="Arial"/>
        </w:rPr>
        <w:t>Nonmuscle</w:t>
      </w:r>
      <w:proofErr w:type="spellEnd"/>
      <w:r w:rsidRPr="14CB1C63">
        <w:rPr>
          <w:rFonts w:ascii="Arial" w:eastAsia="Arial" w:hAnsi="Arial" w:cs="Arial"/>
        </w:rPr>
        <w:t xml:space="preserve"> Invasive Bladder Cancer. </w:t>
      </w:r>
      <w:r w:rsidRPr="14CB1C63">
        <w:rPr>
          <w:rFonts w:ascii="Arial" w:eastAsia="Arial" w:hAnsi="Arial" w:cs="Arial"/>
          <w:i/>
          <w:iCs/>
        </w:rPr>
        <w:t>The Journal of urology</w:t>
      </w:r>
      <w:r w:rsidRPr="14CB1C63">
        <w:rPr>
          <w:rFonts w:ascii="Arial" w:eastAsia="Arial" w:hAnsi="Arial" w:cs="Arial"/>
        </w:rPr>
        <w:t xml:space="preserve">. 2012;187(5):1571-1576. </w:t>
      </w:r>
      <w:proofErr w:type="gramStart"/>
      <w:r w:rsidRPr="14CB1C63">
        <w:rPr>
          <w:rFonts w:ascii="Arial" w:eastAsia="Arial" w:hAnsi="Arial" w:cs="Arial"/>
        </w:rPr>
        <w:t>doi:10.1016/j.juro</w:t>
      </w:r>
      <w:proofErr w:type="gramEnd"/>
      <w:r w:rsidRPr="14CB1C63">
        <w:rPr>
          <w:rFonts w:ascii="Arial" w:eastAsia="Arial" w:hAnsi="Arial" w:cs="Arial"/>
        </w:rPr>
        <w:t>.2011.12.056</w:t>
      </w:r>
    </w:p>
    <w:p w14:paraId="09D5D960" w14:textId="77777777" w:rsidR="00AA239B" w:rsidRDefault="00AA239B" w:rsidP="00AA239B">
      <w:pPr>
        <w:pStyle w:val="ListParagraph"/>
        <w:numPr>
          <w:ilvl w:val="0"/>
          <w:numId w:val="22"/>
        </w:numPr>
        <w:spacing w:after="0"/>
        <w:rPr>
          <w:rFonts w:ascii="Arial" w:eastAsia="Arial" w:hAnsi="Arial" w:cs="Arial"/>
        </w:rPr>
      </w:pPr>
      <w:proofErr w:type="spellStart"/>
      <w:r w:rsidRPr="14CB1C63">
        <w:rPr>
          <w:rFonts w:ascii="Arial" w:eastAsia="Arial" w:hAnsi="Arial" w:cs="Arial"/>
        </w:rPr>
        <w:t>Madeb</w:t>
      </w:r>
      <w:proofErr w:type="spellEnd"/>
      <w:r w:rsidRPr="14CB1C63">
        <w:rPr>
          <w:rFonts w:ascii="Arial" w:eastAsia="Arial" w:hAnsi="Arial" w:cs="Arial"/>
        </w:rPr>
        <w:t xml:space="preserve"> R, </w:t>
      </w:r>
      <w:proofErr w:type="spellStart"/>
      <w:r w:rsidRPr="14CB1C63">
        <w:rPr>
          <w:rFonts w:ascii="Arial" w:eastAsia="Arial" w:hAnsi="Arial" w:cs="Arial"/>
        </w:rPr>
        <w:t>Golijanin</w:t>
      </w:r>
      <w:proofErr w:type="spellEnd"/>
      <w:r w:rsidRPr="14CB1C63">
        <w:rPr>
          <w:rFonts w:ascii="Arial" w:eastAsia="Arial" w:hAnsi="Arial" w:cs="Arial"/>
        </w:rPr>
        <w:t xml:space="preserve"> D, Noyes K, et al. Treatment of Non-Muscle Invading Bladder Cancer: Do physicians in the United States Practice Evidence Based Medicine</w:t>
      </w:r>
      <w:proofErr w:type="gramStart"/>
      <w:r w:rsidRPr="14CB1C63">
        <w:rPr>
          <w:rFonts w:ascii="Arial" w:eastAsia="Arial" w:hAnsi="Arial" w:cs="Arial"/>
        </w:rPr>
        <w:t>? :</w:t>
      </w:r>
      <w:proofErr w:type="gramEnd"/>
      <w:r w:rsidRPr="14CB1C63">
        <w:rPr>
          <w:rFonts w:ascii="Arial" w:eastAsia="Arial" w:hAnsi="Arial" w:cs="Arial"/>
        </w:rPr>
        <w:t xml:space="preserve"> The use and economic implications of Intravesical Chemotherapy after Transurethral Resection of Bladder Tumors. </w:t>
      </w:r>
      <w:r w:rsidRPr="14CB1C63">
        <w:rPr>
          <w:rFonts w:ascii="Arial" w:eastAsia="Arial" w:hAnsi="Arial" w:cs="Arial"/>
          <w:i/>
          <w:iCs/>
        </w:rPr>
        <w:t>Cancer</w:t>
      </w:r>
      <w:r w:rsidRPr="14CB1C63">
        <w:rPr>
          <w:rFonts w:ascii="Arial" w:eastAsia="Arial" w:hAnsi="Arial" w:cs="Arial"/>
        </w:rPr>
        <w:t>. 2009;115(12):2660-2670. doi:10.1002/cncr.24311</w:t>
      </w:r>
    </w:p>
    <w:p w14:paraId="6C00DED6" w14:textId="77777777" w:rsidR="00AA239B" w:rsidRDefault="00AA239B" w:rsidP="00AA239B">
      <w:pPr>
        <w:pStyle w:val="ListParagraph"/>
        <w:numPr>
          <w:ilvl w:val="0"/>
          <w:numId w:val="22"/>
        </w:numPr>
        <w:spacing w:after="0"/>
        <w:rPr>
          <w:rFonts w:ascii="Arial" w:eastAsia="Arial" w:hAnsi="Arial" w:cs="Arial"/>
        </w:rPr>
      </w:pPr>
      <w:r w:rsidRPr="14CB1C63">
        <w:rPr>
          <w:rFonts w:ascii="Arial" w:eastAsia="Arial" w:hAnsi="Arial" w:cs="Arial"/>
        </w:rPr>
        <w:t xml:space="preserve">Cary C, Militello L, Weiner M, </w:t>
      </w:r>
      <w:proofErr w:type="spellStart"/>
      <w:r w:rsidRPr="14CB1C63">
        <w:rPr>
          <w:rFonts w:ascii="Arial" w:eastAsia="Arial" w:hAnsi="Arial" w:cs="Arial"/>
        </w:rPr>
        <w:t>DeChant</w:t>
      </w:r>
      <w:proofErr w:type="spellEnd"/>
      <w:r w:rsidRPr="14CB1C63">
        <w:rPr>
          <w:rFonts w:ascii="Arial" w:eastAsia="Arial" w:hAnsi="Arial" w:cs="Arial"/>
        </w:rPr>
        <w:t xml:space="preserve"> P, Frankel R, Koch M. PD32-07 BARRIERS TO SINGLE-DOSE INTRAVESICAL CHEMOTHERAPY IN NON-MUSCLE INVASIVE BLADDER CANCER: WHAT’S THE PROBLEM? </w:t>
      </w:r>
      <w:r w:rsidRPr="14CB1C63">
        <w:rPr>
          <w:rFonts w:ascii="Arial" w:eastAsia="Arial" w:hAnsi="Arial" w:cs="Arial"/>
          <w:i/>
          <w:iCs/>
        </w:rPr>
        <w:t>The Journal of urology</w:t>
      </w:r>
      <w:r w:rsidRPr="14CB1C63">
        <w:rPr>
          <w:rFonts w:ascii="Arial" w:eastAsia="Arial" w:hAnsi="Arial" w:cs="Arial"/>
        </w:rPr>
        <w:t>. 2020;203(Supplement 4). doi:10.1097/JU.0000000000000896.07</w:t>
      </w:r>
    </w:p>
    <w:p w14:paraId="2F576803" w14:textId="473E0831" w:rsidR="00C55917" w:rsidRPr="00C55917" w:rsidRDefault="00C55917" w:rsidP="00AA239B">
      <w:pPr>
        <w:ind w:left="0"/>
      </w:pPr>
    </w:p>
    <w:p w14:paraId="31CD161F" w14:textId="23D66055" w:rsidR="00C55917" w:rsidRPr="00C55917" w:rsidRDefault="00C55917" w:rsidP="00C55917"/>
    <w:p w14:paraId="723A51C7" w14:textId="42602246" w:rsidR="00C55917" w:rsidRPr="00C55917" w:rsidRDefault="00C55917" w:rsidP="00C55917"/>
    <w:p w14:paraId="7D0FAF51" w14:textId="77777777" w:rsidR="00C55917" w:rsidRPr="00C55917" w:rsidRDefault="00C55917" w:rsidP="00C55917"/>
    <w:sectPr w:rsidR="00C55917" w:rsidRPr="00C5591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64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C851" w14:textId="77777777" w:rsidR="009B460F" w:rsidRDefault="009B460F">
      <w:pPr>
        <w:spacing w:after="0" w:line="240" w:lineRule="auto"/>
      </w:pPr>
      <w:r>
        <w:separator/>
      </w:r>
    </w:p>
  </w:endnote>
  <w:endnote w:type="continuationSeparator" w:id="0">
    <w:p w14:paraId="128D0812" w14:textId="77777777" w:rsidR="009B460F" w:rsidRDefault="009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17C8"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714" w14:textId="77777777" w:rsidR="00C26841" w:rsidRDefault="00C26841">
    <w:pPr>
      <w:pBdr>
        <w:top w:val="nil"/>
        <w:left w:val="nil"/>
        <w:bottom w:val="nil"/>
        <w:right w:val="nil"/>
        <w:between w:val="nil"/>
      </w:pBdr>
      <w:tabs>
        <w:tab w:val="center" w:pos="4680"/>
        <w:tab w:val="right" w:pos="9360"/>
      </w:tabs>
      <w:spacing w:after="0" w:line="240" w:lineRule="auto"/>
      <w:ind w:hanging="10"/>
      <w:jc w:val="right"/>
      <w:rPr>
        <w:color w:val="000000"/>
        <w:sz w:val="18"/>
        <w:szCs w:val="18"/>
      </w:rPr>
    </w:pPr>
  </w:p>
  <w:p w14:paraId="102DD48D" w14:textId="0A2CE218" w:rsidR="0032679F" w:rsidRPr="00C26841" w:rsidRDefault="00E85E49" w:rsidP="00C26841">
    <w:pPr>
      <w:pBdr>
        <w:top w:val="nil"/>
        <w:left w:val="nil"/>
        <w:bottom w:val="nil"/>
        <w:right w:val="nil"/>
        <w:between w:val="nil"/>
      </w:pBdr>
      <w:tabs>
        <w:tab w:val="center" w:pos="4680"/>
        <w:tab w:val="right" w:pos="9360"/>
      </w:tabs>
      <w:spacing w:after="0" w:line="240" w:lineRule="auto"/>
      <w:ind w:hanging="10"/>
      <w:rPr>
        <w:color w:val="000000"/>
        <w:sz w:val="18"/>
        <w:szCs w:val="18"/>
      </w:rPr>
    </w:pPr>
    <w:r>
      <w:rPr>
        <w:color w:val="000000"/>
        <w:sz w:val="18"/>
        <w:szCs w:val="18"/>
      </w:rPr>
      <w:t>November</w:t>
    </w:r>
    <w:r w:rsidR="00CA1441">
      <w:rPr>
        <w:color w:val="000000"/>
        <w:sz w:val="18"/>
        <w:szCs w:val="18"/>
      </w:rPr>
      <w:t xml:space="preserve"> </w:t>
    </w:r>
    <w:r>
      <w:rPr>
        <w:color w:val="000000"/>
        <w:sz w:val="18"/>
        <w:szCs w:val="18"/>
      </w:rPr>
      <w:t>10</w:t>
    </w:r>
    <w:r w:rsidR="00FB3B09">
      <w:rPr>
        <w:color w:val="000000"/>
        <w:sz w:val="18"/>
        <w:szCs w:val="18"/>
      </w:rPr>
      <w:t>,</w:t>
    </w:r>
    <w:r w:rsidR="00CA1441">
      <w:rPr>
        <w:color w:val="000000"/>
        <w:sz w:val="18"/>
        <w:szCs w:val="18"/>
      </w:rPr>
      <w:t xml:space="preserve"> </w:t>
    </w:r>
    <w:proofErr w:type="gramStart"/>
    <w:r w:rsidR="00CA1441">
      <w:rPr>
        <w:color w:val="000000"/>
        <w:sz w:val="18"/>
        <w:szCs w:val="18"/>
      </w:rPr>
      <w:t>202</w:t>
    </w:r>
    <w:r w:rsidR="003702E4">
      <w:rPr>
        <w:color w:val="000000"/>
        <w:sz w:val="18"/>
        <w:szCs w:val="18"/>
      </w:rPr>
      <w:t>5</w:t>
    </w:r>
    <w:proofErr w:type="gramEnd"/>
    <w:r w:rsidR="00C26841">
      <w:rPr>
        <w:color w:val="000000"/>
        <w:sz w:val="18"/>
        <w:szCs w:val="18"/>
      </w:rPr>
      <w:tab/>
    </w:r>
    <w:r w:rsidR="00C26841">
      <w:rPr>
        <w:color w:val="000000"/>
        <w:sz w:val="18"/>
        <w:szCs w:val="18"/>
      </w:rPr>
      <w:tab/>
    </w:r>
    <w:r w:rsidR="00CC0040" w:rsidRPr="00C26841">
      <w:rPr>
        <w:color w:val="000000"/>
        <w:sz w:val="18"/>
        <w:szCs w:val="18"/>
      </w:rPr>
      <w:t xml:space="preserve">                                                                                                        </w:t>
    </w:r>
    <w:r w:rsidR="00CC0040" w:rsidRPr="00C26841">
      <w:rPr>
        <w:color w:val="000000"/>
        <w:sz w:val="18"/>
        <w:szCs w:val="18"/>
      </w:rPr>
      <w:fldChar w:fldCharType="begin"/>
    </w:r>
    <w:r w:rsidR="00CC0040" w:rsidRPr="00C26841">
      <w:rPr>
        <w:color w:val="000000"/>
        <w:sz w:val="18"/>
        <w:szCs w:val="18"/>
      </w:rPr>
      <w:instrText>PAGE</w:instrText>
    </w:r>
    <w:r w:rsidR="00CC0040" w:rsidRPr="00C26841">
      <w:rPr>
        <w:color w:val="000000"/>
        <w:sz w:val="18"/>
        <w:szCs w:val="18"/>
      </w:rPr>
      <w:fldChar w:fldCharType="separate"/>
    </w:r>
    <w:r w:rsidR="005A7383" w:rsidRPr="00C26841">
      <w:rPr>
        <w:noProof/>
        <w:color w:val="000000"/>
        <w:sz w:val="18"/>
        <w:szCs w:val="18"/>
      </w:rPr>
      <w:t>1</w:t>
    </w:r>
    <w:r w:rsidR="00CC0040" w:rsidRPr="00C26841">
      <w:rPr>
        <w:color w:val="000000"/>
        <w:sz w:val="18"/>
        <w:szCs w:val="18"/>
      </w:rPr>
      <w:fldChar w:fldCharType="end"/>
    </w:r>
  </w:p>
  <w:p w14:paraId="493FD301" w14:textId="77777777" w:rsidR="0032679F" w:rsidRDefault="0032679F">
    <w:pPr>
      <w:pBdr>
        <w:top w:val="nil"/>
        <w:left w:val="nil"/>
        <w:bottom w:val="nil"/>
        <w:right w:val="nil"/>
        <w:between w:val="nil"/>
      </w:pBdr>
      <w:tabs>
        <w:tab w:val="center" w:pos="4680"/>
        <w:tab w:val="right" w:pos="9360"/>
      </w:tabs>
      <w:spacing w:after="0" w:line="240" w:lineRule="auto"/>
      <w:ind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4DCA"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6D0C" w14:textId="77777777" w:rsidR="009B460F" w:rsidRDefault="009B460F">
      <w:pPr>
        <w:spacing w:after="0" w:line="240" w:lineRule="auto"/>
      </w:pPr>
      <w:r>
        <w:separator/>
      </w:r>
    </w:p>
  </w:footnote>
  <w:footnote w:type="continuationSeparator" w:id="0">
    <w:p w14:paraId="4F43F3A3" w14:textId="77777777" w:rsidR="009B460F" w:rsidRDefault="009B4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EAC0" w14:textId="77777777" w:rsidR="0032679F" w:rsidRDefault="00CC0040">
    <w:pPr>
      <w:spacing w:after="0" w:line="259" w:lineRule="auto"/>
      <w:ind w:left="-360"/>
    </w:pPr>
    <w:r>
      <w:rPr>
        <w:noProof/>
      </w:rPr>
      <w:drawing>
        <wp:anchor distT="0" distB="0" distL="114300" distR="114300" simplePos="0" relativeHeight="251660288" behindDoc="0" locked="0" layoutInCell="1" hidden="0" allowOverlap="1" wp14:anchorId="4BE4DAEF" wp14:editId="25AFDC5E">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6A5B7F2" wp14:editId="7E8EA8C9">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CF75" w14:textId="41072685" w:rsidR="0032679F" w:rsidRDefault="00CC0040">
    <w:pPr>
      <w:pBdr>
        <w:top w:val="nil"/>
        <w:left w:val="nil"/>
        <w:bottom w:val="nil"/>
        <w:right w:val="nil"/>
        <w:between w:val="nil"/>
      </w:pBdr>
      <w:tabs>
        <w:tab w:val="center" w:pos="4680"/>
        <w:tab w:val="right" w:pos="9360"/>
      </w:tabs>
      <w:spacing w:after="240" w:line="480" w:lineRule="auto"/>
      <w:ind w:left="0"/>
      <w:rPr>
        <w:rFonts w:ascii="Calibri" w:eastAsia="Calibri" w:hAnsi="Calibri" w:cs="Calibri"/>
        <w:color w:val="000000"/>
      </w:rPr>
    </w:pPr>
    <w:r>
      <w:rPr>
        <w:rFonts w:ascii="Calibri" w:eastAsia="Calibri" w:hAnsi="Calibri" w:cs="Calibri"/>
        <w:color w:val="000000"/>
      </w:rPr>
      <w:t xml:space="preserve">                   </w:t>
    </w:r>
    <w:r w:rsidR="00057F61">
      <w:rPr>
        <w:noProof/>
      </w:rPr>
      <w:drawing>
        <wp:inline distT="0" distB="0" distL="0" distR="0" wp14:anchorId="4EF21BA9" wp14:editId="6C055EC8">
          <wp:extent cx="2109547" cy="708660"/>
          <wp:effectExtent l="0" t="0" r="508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7843"/>
                  <a:stretch/>
                </pic:blipFill>
                <pic:spPr bwMode="auto">
                  <a:xfrm>
                    <a:off x="0" y="0"/>
                    <a:ext cx="2122272" cy="712935"/>
                  </a:xfrm>
                  <a:prstGeom prst="rect">
                    <a:avLst/>
                  </a:prstGeom>
                  <a:noFill/>
                  <a:ln>
                    <a:noFill/>
                  </a:ln>
                  <a:extLst>
                    <a:ext uri="{53640926-AAD7-44D8-BBD7-CCE9431645EC}">
                      <a14:shadowObscured xmlns:a14="http://schemas.microsoft.com/office/drawing/2010/main"/>
                    </a:ext>
                  </a:extLst>
                </pic:spPr>
              </pic:pic>
            </a:graphicData>
          </a:graphic>
        </wp:inline>
      </w:drawing>
    </w:r>
    <w:r w:rsidR="00463109">
      <w:rPr>
        <w:noProof/>
      </w:rPr>
      <w:t xml:space="preserve">                                                </w:t>
    </w:r>
    <w:r w:rsidR="00057F61">
      <w:rPr>
        <w:noProof/>
      </w:rPr>
      <w:drawing>
        <wp:inline distT="0" distB="0" distL="0" distR="0" wp14:anchorId="2AB54EEE" wp14:editId="08A1CFD0">
          <wp:extent cx="1771650" cy="723916"/>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836" cy="735433"/>
                  </a:xfrm>
                  <a:prstGeom prst="rect">
                    <a:avLst/>
                  </a:prstGeom>
                  <a:noFill/>
                  <a:ln>
                    <a:noFill/>
                  </a:ln>
                </pic:spPr>
              </pic:pic>
            </a:graphicData>
          </a:graphic>
        </wp:inline>
      </w:drawing>
    </w:r>
  </w:p>
  <w:p w14:paraId="593E7C51" w14:textId="77777777" w:rsidR="0032679F" w:rsidRDefault="00CC0040">
    <w:pPr>
      <w:spacing w:after="0" w:line="259" w:lineRule="auto"/>
      <w:ind w:left="-360"/>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68B9" w14:textId="77777777" w:rsidR="0032679F" w:rsidRDefault="00CC0040">
    <w:pPr>
      <w:spacing w:after="0" w:line="259" w:lineRule="auto"/>
      <w:ind w:left="-360"/>
    </w:pPr>
    <w:r>
      <w:rPr>
        <w:noProof/>
      </w:rPr>
      <w:drawing>
        <wp:anchor distT="0" distB="0" distL="114300" distR="114300" simplePos="0" relativeHeight="251658240" behindDoc="0" locked="0" layoutInCell="1" hidden="0" allowOverlap="1" wp14:anchorId="33AA1B8B" wp14:editId="1FEF80A2">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269839" wp14:editId="5DAAA696">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D15"/>
    <w:multiLevelType w:val="hybridMultilevel"/>
    <w:tmpl w:val="1078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60B5"/>
    <w:multiLevelType w:val="hybridMultilevel"/>
    <w:tmpl w:val="B080C9C6"/>
    <w:lvl w:ilvl="0" w:tplc="691CD6D4">
      <w:start w:val="1"/>
      <w:numFmt w:val="decimal"/>
      <w:lvlText w:val="%1."/>
      <w:lvlJc w:val="left"/>
      <w:pPr>
        <w:ind w:left="1020" w:hanging="360"/>
      </w:pPr>
    </w:lvl>
    <w:lvl w:ilvl="1" w:tplc="2D0C6F54">
      <w:start w:val="1"/>
      <w:numFmt w:val="decimal"/>
      <w:lvlText w:val="%2."/>
      <w:lvlJc w:val="left"/>
      <w:pPr>
        <w:ind w:left="1020" w:hanging="360"/>
      </w:pPr>
    </w:lvl>
    <w:lvl w:ilvl="2" w:tplc="7F4636CC">
      <w:start w:val="1"/>
      <w:numFmt w:val="decimal"/>
      <w:lvlText w:val="%3."/>
      <w:lvlJc w:val="left"/>
      <w:pPr>
        <w:ind w:left="1020" w:hanging="360"/>
      </w:pPr>
    </w:lvl>
    <w:lvl w:ilvl="3" w:tplc="B1D24416">
      <w:start w:val="1"/>
      <w:numFmt w:val="decimal"/>
      <w:lvlText w:val="%4."/>
      <w:lvlJc w:val="left"/>
      <w:pPr>
        <w:ind w:left="1020" w:hanging="360"/>
      </w:pPr>
    </w:lvl>
    <w:lvl w:ilvl="4" w:tplc="8FD67120">
      <w:start w:val="1"/>
      <w:numFmt w:val="decimal"/>
      <w:lvlText w:val="%5."/>
      <w:lvlJc w:val="left"/>
      <w:pPr>
        <w:ind w:left="1020" w:hanging="360"/>
      </w:pPr>
    </w:lvl>
    <w:lvl w:ilvl="5" w:tplc="5C188064">
      <w:start w:val="1"/>
      <w:numFmt w:val="decimal"/>
      <w:lvlText w:val="%6."/>
      <w:lvlJc w:val="left"/>
      <w:pPr>
        <w:ind w:left="1020" w:hanging="360"/>
      </w:pPr>
    </w:lvl>
    <w:lvl w:ilvl="6" w:tplc="1D28CECA">
      <w:start w:val="1"/>
      <w:numFmt w:val="decimal"/>
      <w:lvlText w:val="%7."/>
      <w:lvlJc w:val="left"/>
      <w:pPr>
        <w:ind w:left="1020" w:hanging="360"/>
      </w:pPr>
    </w:lvl>
    <w:lvl w:ilvl="7" w:tplc="A07C4EE0">
      <w:start w:val="1"/>
      <w:numFmt w:val="decimal"/>
      <w:lvlText w:val="%8."/>
      <w:lvlJc w:val="left"/>
      <w:pPr>
        <w:ind w:left="1020" w:hanging="360"/>
      </w:pPr>
    </w:lvl>
    <w:lvl w:ilvl="8" w:tplc="4248437E">
      <w:start w:val="1"/>
      <w:numFmt w:val="decimal"/>
      <w:lvlText w:val="%9."/>
      <w:lvlJc w:val="left"/>
      <w:pPr>
        <w:ind w:left="1020" w:hanging="360"/>
      </w:pPr>
    </w:lvl>
  </w:abstractNum>
  <w:abstractNum w:abstractNumId="2" w15:restartNumberingAfterBreak="0">
    <w:nsid w:val="17926C17"/>
    <w:multiLevelType w:val="hybridMultilevel"/>
    <w:tmpl w:val="F0C66F32"/>
    <w:lvl w:ilvl="0" w:tplc="06BA5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B1256"/>
    <w:multiLevelType w:val="hybridMultilevel"/>
    <w:tmpl w:val="5B96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736A9"/>
    <w:multiLevelType w:val="hybridMultilevel"/>
    <w:tmpl w:val="6480EC86"/>
    <w:lvl w:ilvl="0" w:tplc="679A090C">
      <w:start w:val="1"/>
      <w:numFmt w:val="bullet"/>
      <w:lvlText w:val="•"/>
      <w:lvlJc w:val="left"/>
      <w:pPr>
        <w:tabs>
          <w:tab w:val="num" w:pos="720"/>
        </w:tabs>
        <w:ind w:left="720" w:hanging="360"/>
      </w:pPr>
      <w:rPr>
        <w:rFonts w:ascii="Arial" w:hAnsi="Arial" w:hint="default"/>
      </w:rPr>
    </w:lvl>
    <w:lvl w:ilvl="1" w:tplc="57D85D08" w:tentative="1">
      <w:start w:val="1"/>
      <w:numFmt w:val="bullet"/>
      <w:lvlText w:val="•"/>
      <w:lvlJc w:val="left"/>
      <w:pPr>
        <w:tabs>
          <w:tab w:val="num" w:pos="1440"/>
        </w:tabs>
        <w:ind w:left="1440" w:hanging="360"/>
      </w:pPr>
      <w:rPr>
        <w:rFonts w:ascii="Arial" w:hAnsi="Arial" w:hint="default"/>
      </w:rPr>
    </w:lvl>
    <w:lvl w:ilvl="2" w:tplc="82C8C70A" w:tentative="1">
      <w:start w:val="1"/>
      <w:numFmt w:val="bullet"/>
      <w:lvlText w:val="•"/>
      <w:lvlJc w:val="left"/>
      <w:pPr>
        <w:tabs>
          <w:tab w:val="num" w:pos="2160"/>
        </w:tabs>
        <w:ind w:left="2160" w:hanging="360"/>
      </w:pPr>
      <w:rPr>
        <w:rFonts w:ascii="Arial" w:hAnsi="Arial" w:hint="default"/>
      </w:rPr>
    </w:lvl>
    <w:lvl w:ilvl="3" w:tplc="5162B19A" w:tentative="1">
      <w:start w:val="1"/>
      <w:numFmt w:val="bullet"/>
      <w:lvlText w:val="•"/>
      <w:lvlJc w:val="left"/>
      <w:pPr>
        <w:tabs>
          <w:tab w:val="num" w:pos="2880"/>
        </w:tabs>
        <w:ind w:left="2880" w:hanging="360"/>
      </w:pPr>
      <w:rPr>
        <w:rFonts w:ascii="Arial" w:hAnsi="Arial" w:hint="default"/>
      </w:rPr>
    </w:lvl>
    <w:lvl w:ilvl="4" w:tplc="02B63832" w:tentative="1">
      <w:start w:val="1"/>
      <w:numFmt w:val="bullet"/>
      <w:lvlText w:val="•"/>
      <w:lvlJc w:val="left"/>
      <w:pPr>
        <w:tabs>
          <w:tab w:val="num" w:pos="3600"/>
        </w:tabs>
        <w:ind w:left="3600" w:hanging="360"/>
      </w:pPr>
      <w:rPr>
        <w:rFonts w:ascii="Arial" w:hAnsi="Arial" w:hint="default"/>
      </w:rPr>
    </w:lvl>
    <w:lvl w:ilvl="5" w:tplc="45F2CF2C" w:tentative="1">
      <w:start w:val="1"/>
      <w:numFmt w:val="bullet"/>
      <w:lvlText w:val="•"/>
      <w:lvlJc w:val="left"/>
      <w:pPr>
        <w:tabs>
          <w:tab w:val="num" w:pos="4320"/>
        </w:tabs>
        <w:ind w:left="4320" w:hanging="360"/>
      </w:pPr>
      <w:rPr>
        <w:rFonts w:ascii="Arial" w:hAnsi="Arial" w:hint="default"/>
      </w:rPr>
    </w:lvl>
    <w:lvl w:ilvl="6" w:tplc="4BF8D1A4" w:tentative="1">
      <w:start w:val="1"/>
      <w:numFmt w:val="bullet"/>
      <w:lvlText w:val="•"/>
      <w:lvlJc w:val="left"/>
      <w:pPr>
        <w:tabs>
          <w:tab w:val="num" w:pos="5040"/>
        </w:tabs>
        <w:ind w:left="5040" w:hanging="360"/>
      </w:pPr>
      <w:rPr>
        <w:rFonts w:ascii="Arial" w:hAnsi="Arial" w:hint="default"/>
      </w:rPr>
    </w:lvl>
    <w:lvl w:ilvl="7" w:tplc="29C6E57A" w:tentative="1">
      <w:start w:val="1"/>
      <w:numFmt w:val="bullet"/>
      <w:lvlText w:val="•"/>
      <w:lvlJc w:val="left"/>
      <w:pPr>
        <w:tabs>
          <w:tab w:val="num" w:pos="5760"/>
        </w:tabs>
        <w:ind w:left="5760" w:hanging="360"/>
      </w:pPr>
      <w:rPr>
        <w:rFonts w:ascii="Arial" w:hAnsi="Arial" w:hint="default"/>
      </w:rPr>
    </w:lvl>
    <w:lvl w:ilvl="8" w:tplc="3AA680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907926"/>
    <w:multiLevelType w:val="hybridMultilevel"/>
    <w:tmpl w:val="E248745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 w15:restartNumberingAfterBreak="0">
    <w:nsid w:val="24A921D7"/>
    <w:multiLevelType w:val="multilevel"/>
    <w:tmpl w:val="BC7A3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5AB3A67"/>
    <w:multiLevelType w:val="hybridMultilevel"/>
    <w:tmpl w:val="C3C4B066"/>
    <w:lvl w:ilvl="0" w:tplc="BF909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16C02"/>
    <w:multiLevelType w:val="hybridMultilevel"/>
    <w:tmpl w:val="9692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75950"/>
    <w:multiLevelType w:val="hybridMultilevel"/>
    <w:tmpl w:val="3982C2E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0" w15:restartNumberingAfterBreak="0">
    <w:nsid w:val="3ABA3C67"/>
    <w:multiLevelType w:val="hybridMultilevel"/>
    <w:tmpl w:val="FFFFFFFF"/>
    <w:lvl w:ilvl="0" w:tplc="3F90008C">
      <w:start w:val="1"/>
      <w:numFmt w:val="decimal"/>
      <w:lvlText w:val="%1."/>
      <w:lvlJc w:val="left"/>
      <w:pPr>
        <w:ind w:left="720" w:hanging="360"/>
      </w:pPr>
    </w:lvl>
    <w:lvl w:ilvl="1" w:tplc="6FEE8A42">
      <w:start w:val="1"/>
      <w:numFmt w:val="lowerLetter"/>
      <w:lvlText w:val="%2."/>
      <w:lvlJc w:val="left"/>
      <w:pPr>
        <w:ind w:left="1440" w:hanging="360"/>
      </w:pPr>
    </w:lvl>
    <w:lvl w:ilvl="2" w:tplc="89F84F24">
      <w:start w:val="1"/>
      <w:numFmt w:val="lowerRoman"/>
      <w:lvlText w:val="%3."/>
      <w:lvlJc w:val="right"/>
      <w:pPr>
        <w:ind w:left="2160" w:hanging="180"/>
      </w:pPr>
    </w:lvl>
    <w:lvl w:ilvl="3" w:tplc="A42A8D02">
      <w:start w:val="1"/>
      <w:numFmt w:val="decimal"/>
      <w:lvlText w:val="%4."/>
      <w:lvlJc w:val="left"/>
      <w:pPr>
        <w:ind w:left="2880" w:hanging="360"/>
      </w:pPr>
    </w:lvl>
    <w:lvl w:ilvl="4" w:tplc="07EA0E2C">
      <w:start w:val="1"/>
      <w:numFmt w:val="lowerLetter"/>
      <w:lvlText w:val="%5."/>
      <w:lvlJc w:val="left"/>
      <w:pPr>
        <w:ind w:left="3600" w:hanging="360"/>
      </w:pPr>
    </w:lvl>
    <w:lvl w:ilvl="5" w:tplc="2A8818E2">
      <w:start w:val="1"/>
      <w:numFmt w:val="lowerRoman"/>
      <w:lvlText w:val="%6."/>
      <w:lvlJc w:val="right"/>
      <w:pPr>
        <w:ind w:left="4320" w:hanging="180"/>
      </w:pPr>
    </w:lvl>
    <w:lvl w:ilvl="6" w:tplc="06B01288">
      <w:start w:val="1"/>
      <w:numFmt w:val="decimal"/>
      <w:lvlText w:val="%7."/>
      <w:lvlJc w:val="left"/>
      <w:pPr>
        <w:ind w:left="5040" w:hanging="360"/>
      </w:pPr>
    </w:lvl>
    <w:lvl w:ilvl="7" w:tplc="54FE210A">
      <w:start w:val="1"/>
      <w:numFmt w:val="lowerLetter"/>
      <w:lvlText w:val="%8."/>
      <w:lvlJc w:val="left"/>
      <w:pPr>
        <w:ind w:left="5760" w:hanging="360"/>
      </w:pPr>
    </w:lvl>
    <w:lvl w:ilvl="8" w:tplc="EAAA1C62">
      <w:start w:val="1"/>
      <w:numFmt w:val="lowerRoman"/>
      <w:lvlText w:val="%9."/>
      <w:lvlJc w:val="right"/>
      <w:pPr>
        <w:ind w:left="6480" w:hanging="180"/>
      </w:pPr>
    </w:lvl>
  </w:abstractNum>
  <w:abstractNum w:abstractNumId="11" w15:restartNumberingAfterBreak="0">
    <w:nsid w:val="3E3C3F6D"/>
    <w:multiLevelType w:val="hybridMultilevel"/>
    <w:tmpl w:val="68A2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413876"/>
    <w:multiLevelType w:val="hybridMultilevel"/>
    <w:tmpl w:val="A3FED538"/>
    <w:lvl w:ilvl="0" w:tplc="5F1C3A40">
      <w:start w:val="1"/>
      <w:numFmt w:val="decimal"/>
      <w:lvlText w:val="%1."/>
      <w:lvlJc w:val="left"/>
      <w:pPr>
        <w:ind w:left="720" w:hanging="360"/>
      </w:pPr>
      <w:rPr>
        <w:rFonts w:ascii="Calibri" w:eastAsiaTheme="minorHAnsi" w:hAnsi="Calibri" w:cs="Calibri"/>
      </w:rPr>
    </w:lvl>
    <w:lvl w:ilvl="1" w:tplc="65D065D4">
      <w:start w:val="1"/>
      <w:numFmt w:val="decimal"/>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474A1D"/>
    <w:multiLevelType w:val="hybridMultilevel"/>
    <w:tmpl w:val="FB349DA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4" w15:restartNumberingAfterBreak="0">
    <w:nsid w:val="4EC80BE3"/>
    <w:multiLevelType w:val="hybridMultilevel"/>
    <w:tmpl w:val="4C0A99F0"/>
    <w:lvl w:ilvl="0" w:tplc="F06E6C3C">
      <w:start w:val="1"/>
      <w:numFmt w:val="decimal"/>
      <w:lvlText w:val="%1."/>
      <w:lvlJc w:val="left"/>
      <w:pPr>
        <w:ind w:left="1440" w:hanging="360"/>
      </w:pPr>
    </w:lvl>
    <w:lvl w:ilvl="1" w:tplc="AB72B310">
      <w:start w:val="1"/>
      <w:numFmt w:val="decimal"/>
      <w:lvlText w:val="%2."/>
      <w:lvlJc w:val="left"/>
      <w:pPr>
        <w:ind w:left="1440" w:hanging="360"/>
      </w:pPr>
    </w:lvl>
    <w:lvl w:ilvl="2" w:tplc="EB5E1F82">
      <w:start w:val="1"/>
      <w:numFmt w:val="decimal"/>
      <w:lvlText w:val="%3."/>
      <w:lvlJc w:val="left"/>
      <w:pPr>
        <w:ind w:left="1440" w:hanging="360"/>
      </w:pPr>
    </w:lvl>
    <w:lvl w:ilvl="3" w:tplc="107CB38C">
      <w:start w:val="1"/>
      <w:numFmt w:val="decimal"/>
      <w:lvlText w:val="%4."/>
      <w:lvlJc w:val="left"/>
      <w:pPr>
        <w:ind w:left="1440" w:hanging="360"/>
      </w:pPr>
    </w:lvl>
    <w:lvl w:ilvl="4" w:tplc="B0ECE272">
      <w:start w:val="1"/>
      <w:numFmt w:val="decimal"/>
      <w:lvlText w:val="%5."/>
      <w:lvlJc w:val="left"/>
      <w:pPr>
        <w:ind w:left="1440" w:hanging="360"/>
      </w:pPr>
    </w:lvl>
    <w:lvl w:ilvl="5" w:tplc="E4040A44">
      <w:start w:val="1"/>
      <w:numFmt w:val="decimal"/>
      <w:lvlText w:val="%6."/>
      <w:lvlJc w:val="left"/>
      <w:pPr>
        <w:ind w:left="1440" w:hanging="360"/>
      </w:pPr>
    </w:lvl>
    <w:lvl w:ilvl="6" w:tplc="2E1EC068">
      <w:start w:val="1"/>
      <w:numFmt w:val="decimal"/>
      <w:lvlText w:val="%7."/>
      <w:lvlJc w:val="left"/>
      <w:pPr>
        <w:ind w:left="1440" w:hanging="360"/>
      </w:pPr>
    </w:lvl>
    <w:lvl w:ilvl="7" w:tplc="CC28D3E6">
      <w:start w:val="1"/>
      <w:numFmt w:val="decimal"/>
      <w:lvlText w:val="%8."/>
      <w:lvlJc w:val="left"/>
      <w:pPr>
        <w:ind w:left="1440" w:hanging="360"/>
      </w:pPr>
    </w:lvl>
    <w:lvl w:ilvl="8" w:tplc="AC9A2C8C">
      <w:start w:val="1"/>
      <w:numFmt w:val="decimal"/>
      <w:lvlText w:val="%9."/>
      <w:lvlJc w:val="left"/>
      <w:pPr>
        <w:ind w:left="1440" w:hanging="360"/>
      </w:pPr>
    </w:lvl>
  </w:abstractNum>
  <w:abstractNum w:abstractNumId="15" w15:restartNumberingAfterBreak="0">
    <w:nsid w:val="53FC33AA"/>
    <w:multiLevelType w:val="hybridMultilevel"/>
    <w:tmpl w:val="83328E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57174AC7"/>
    <w:multiLevelType w:val="multilevel"/>
    <w:tmpl w:val="01A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1912CD"/>
    <w:multiLevelType w:val="hybridMultilevel"/>
    <w:tmpl w:val="1040C2DA"/>
    <w:lvl w:ilvl="0" w:tplc="B68804C0">
      <w:start w:val="1"/>
      <w:numFmt w:val="decimal"/>
      <w:lvlText w:val="%1."/>
      <w:lvlJc w:val="left"/>
      <w:pPr>
        <w:ind w:left="1440" w:hanging="360"/>
      </w:pPr>
    </w:lvl>
    <w:lvl w:ilvl="1" w:tplc="98A8E20A">
      <w:start w:val="1"/>
      <w:numFmt w:val="decimal"/>
      <w:lvlText w:val="%2."/>
      <w:lvlJc w:val="left"/>
      <w:pPr>
        <w:ind w:left="1440" w:hanging="360"/>
      </w:pPr>
    </w:lvl>
    <w:lvl w:ilvl="2" w:tplc="5774945E">
      <w:start w:val="1"/>
      <w:numFmt w:val="decimal"/>
      <w:lvlText w:val="%3."/>
      <w:lvlJc w:val="left"/>
      <w:pPr>
        <w:ind w:left="1440" w:hanging="360"/>
      </w:pPr>
    </w:lvl>
    <w:lvl w:ilvl="3" w:tplc="7E88AEB0">
      <w:start w:val="1"/>
      <w:numFmt w:val="decimal"/>
      <w:lvlText w:val="%4."/>
      <w:lvlJc w:val="left"/>
      <w:pPr>
        <w:ind w:left="1440" w:hanging="360"/>
      </w:pPr>
    </w:lvl>
    <w:lvl w:ilvl="4" w:tplc="067AE47C">
      <w:start w:val="1"/>
      <w:numFmt w:val="decimal"/>
      <w:lvlText w:val="%5."/>
      <w:lvlJc w:val="left"/>
      <w:pPr>
        <w:ind w:left="1440" w:hanging="360"/>
      </w:pPr>
    </w:lvl>
    <w:lvl w:ilvl="5" w:tplc="27D4632A">
      <w:start w:val="1"/>
      <w:numFmt w:val="decimal"/>
      <w:lvlText w:val="%6."/>
      <w:lvlJc w:val="left"/>
      <w:pPr>
        <w:ind w:left="1440" w:hanging="360"/>
      </w:pPr>
    </w:lvl>
    <w:lvl w:ilvl="6" w:tplc="AB80BFD2">
      <w:start w:val="1"/>
      <w:numFmt w:val="decimal"/>
      <w:lvlText w:val="%7."/>
      <w:lvlJc w:val="left"/>
      <w:pPr>
        <w:ind w:left="1440" w:hanging="360"/>
      </w:pPr>
    </w:lvl>
    <w:lvl w:ilvl="7" w:tplc="4C4C4DF0">
      <w:start w:val="1"/>
      <w:numFmt w:val="decimal"/>
      <w:lvlText w:val="%8."/>
      <w:lvlJc w:val="left"/>
      <w:pPr>
        <w:ind w:left="1440" w:hanging="360"/>
      </w:pPr>
    </w:lvl>
    <w:lvl w:ilvl="8" w:tplc="5B1486A2">
      <w:start w:val="1"/>
      <w:numFmt w:val="decimal"/>
      <w:lvlText w:val="%9."/>
      <w:lvlJc w:val="left"/>
      <w:pPr>
        <w:ind w:left="1440" w:hanging="360"/>
      </w:pPr>
    </w:lvl>
  </w:abstractNum>
  <w:abstractNum w:abstractNumId="18" w15:restartNumberingAfterBreak="0">
    <w:nsid w:val="6A092592"/>
    <w:multiLevelType w:val="hybridMultilevel"/>
    <w:tmpl w:val="1F74FB16"/>
    <w:lvl w:ilvl="0" w:tplc="07186EA2">
      <w:start w:val="1"/>
      <w:numFmt w:val="bullet"/>
      <w:lvlText w:val="•"/>
      <w:lvlJc w:val="left"/>
      <w:pPr>
        <w:tabs>
          <w:tab w:val="num" w:pos="720"/>
        </w:tabs>
        <w:ind w:left="720" w:hanging="360"/>
      </w:pPr>
      <w:rPr>
        <w:rFonts w:ascii="Arial" w:hAnsi="Arial" w:hint="default"/>
      </w:rPr>
    </w:lvl>
    <w:lvl w:ilvl="1" w:tplc="AD8076B2" w:tentative="1">
      <w:start w:val="1"/>
      <w:numFmt w:val="bullet"/>
      <w:lvlText w:val="•"/>
      <w:lvlJc w:val="left"/>
      <w:pPr>
        <w:tabs>
          <w:tab w:val="num" w:pos="1440"/>
        </w:tabs>
        <w:ind w:left="1440" w:hanging="360"/>
      </w:pPr>
      <w:rPr>
        <w:rFonts w:ascii="Arial" w:hAnsi="Arial" w:hint="default"/>
      </w:rPr>
    </w:lvl>
    <w:lvl w:ilvl="2" w:tplc="018E1A7C" w:tentative="1">
      <w:start w:val="1"/>
      <w:numFmt w:val="bullet"/>
      <w:lvlText w:val="•"/>
      <w:lvlJc w:val="left"/>
      <w:pPr>
        <w:tabs>
          <w:tab w:val="num" w:pos="2160"/>
        </w:tabs>
        <w:ind w:left="2160" w:hanging="360"/>
      </w:pPr>
      <w:rPr>
        <w:rFonts w:ascii="Arial" w:hAnsi="Arial" w:hint="default"/>
      </w:rPr>
    </w:lvl>
    <w:lvl w:ilvl="3" w:tplc="59CE8F8E" w:tentative="1">
      <w:start w:val="1"/>
      <w:numFmt w:val="bullet"/>
      <w:lvlText w:val="•"/>
      <w:lvlJc w:val="left"/>
      <w:pPr>
        <w:tabs>
          <w:tab w:val="num" w:pos="2880"/>
        </w:tabs>
        <w:ind w:left="2880" w:hanging="360"/>
      </w:pPr>
      <w:rPr>
        <w:rFonts w:ascii="Arial" w:hAnsi="Arial" w:hint="default"/>
      </w:rPr>
    </w:lvl>
    <w:lvl w:ilvl="4" w:tplc="E2A8EBE8" w:tentative="1">
      <w:start w:val="1"/>
      <w:numFmt w:val="bullet"/>
      <w:lvlText w:val="•"/>
      <w:lvlJc w:val="left"/>
      <w:pPr>
        <w:tabs>
          <w:tab w:val="num" w:pos="3600"/>
        </w:tabs>
        <w:ind w:left="3600" w:hanging="360"/>
      </w:pPr>
      <w:rPr>
        <w:rFonts w:ascii="Arial" w:hAnsi="Arial" w:hint="default"/>
      </w:rPr>
    </w:lvl>
    <w:lvl w:ilvl="5" w:tplc="DEC01C9A" w:tentative="1">
      <w:start w:val="1"/>
      <w:numFmt w:val="bullet"/>
      <w:lvlText w:val="•"/>
      <w:lvlJc w:val="left"/>
      <w:pPr>
        <w:tabs>
          <w:tab w:val="num" w:pos="4320"/>
        </w:tabs>
        <w:ind w:left="4320" w:hanging="360"/>
      </w:pPr>
      <w:rPr>
        <w:rFonts w:ascii="Arial" w:hAnsi="Arial" w:hint="default"/>
      </w:rPr>
    </w:lvl>
    <w:lvl w:ilvl="6" w:tplc="93A45F66" w:tentative="1">
      <w:start w:val="1"/>
      <w:numFmt w:val="bullet"/>
      <w:lvlText w:val="•"/>
      <w:lvlJc w:val="left"/>
      <w:pPr>
        <w:tabs>
          <w:tab w:val="num" w:pos="5040"/>
        </w:tabs>
        <w:ind w:left="5040" w:hanging="360"/>
      </w:pPr>
      <w:rPr>
        <w:rFonts w:ascii="Arial" w:hAnsi="Arial" w:hint="default"/>
      </w:rPr>
    </w:lvl>
    <w:lvl w:ilvl="7" w:tplc="27DEEDAA" w:tentative="1">
      <w:start w:val="1"/>
      <w:numFmt w:val="bullet"/>
      <w:lvlText w:val="•"/>
      <w:lvlJc w:val="left"/>
      <w:pPr>
        <w:tabs>
          <w:tab w:val="num" w:pos="5760"/>
        </w:tabs>
        <w:ind w:left="5760" w:hanging="360"/>
      </w:pPr>
      <w:rPr>
        <w:rFonts w:ascii="Arial" w:hAnsi="Arial" w:hint="default"/>
      </w:rPr>
    </w:lvl>
    <w:lvl w:ilvl="8" w:tplc="31A03D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447F69"/>
    <w:multiLevelType w:val="hybridMultilevel"/>
    <w:tmpl w:val="89DC2E52"/>
    <w:lvl w:ilvl="0" w:tplc="856C2AE2">
      <w:start w:val="1"/>
      <w:numFmt w:val="bullet"/>
      <w:lvlText w:val="•"/>
      <w:lvlJc w:val="left"/>
      <w:pPr>
        <w:tabs>
          <w:tab w:val="num" w:pos="720"/>
        </w:tabs>
        <w:ind w:left="720" w:hanging="360"/>
      </w:pPr>
      <w:rPr>
        <w:rFonts w:ascii="Arial" w:hAnsi="Arial" w:hint="default"/>
      </w:rPr>
    </w:lvl>
    <w:lvl w:ilvl="1" w:tplc="A1AA8E10" w:tentative="1">
      <w:start w:val="1"/>
      <w:numFmt w:val="bullet"/>
      <w:lvlText w:val="•"/>
      <w:lvlJc w:val="left"/>
      <w:pPr>
        <w:tabs>
          <w:tab w:val="num" w:pos="1440"/>
        </w:tabs>
        <w:ind w:left="1440" w:hanging="360"/>
      </w:pPr>
      <w:rPr>
        <w:rFonts w:ascii="Arial" w:hAnsi="Arial" w:hint="default"/>
      </w:rPr>
    </w:lvl>
    <w:lvl w:ilvl="2" w:tplc="9E440D60" w:tentative="1">
      <w:start w:val="1"/>
      <w:numFmt w:val="bullet"/>
      <w:lvlText w:val="•"/>
      <w:lvlJc w:val="left"/>
      <w:pPr>
        <w:tabs>
          <w:tab w:val="num" w:pos="2160"/>
        </w:tabs>
        <w:ind w:left="2160" w:hanging="360"/>
      </w:pPr>
      <w:rPr>
        <w:rFonts w:ascii="Arial" w:hAnsi="Arial" w:hint="default"/>
      </w:rPr>
    </w:lvl>
    <w:lvl w:ilvl="3" w:tplc="74FA087A" w:tentative="1">
      <w:start w:val="1"/>
      <w:numFmt w:val="bullet"/>
      <w:lvlText w:val="•"/>
      <w:lvlJc w:val="left"/>
      <w:pPr>
        <w:tabs>
          <w:tab w:val="num" w:pos="2880"/>
        </w:tabs>
        <w:ind w:left="2880" w:hanging="360"/>
      </w:pPr>
      <w:rPr>
        <w:rFonts w:ascii="Arial" w:hAnsi="Arial" w:hint="default"/>
      </w:rPr>
    </w:lvl>
    <w:lvl w:ilvl="4" w:tplc="A2307870" w:tentative="1">
      <w:start w:val="1"/>
      <w:numFmt w:val="bullet"/>
      <w:lvlText w:val="•"/>
      <w:lvlJc w:val="left"/>
      <w:pPr>
        <w:tabs>
          <w:tab w:val="num" w:pos="3600"/>
        </w:tabs>
        <w:ind w:left="3600" w:hanging="360"/>
      </w:pPr>
      <w:rPr>
        <w:rFonts w:ascii="Arial" w:hAnsi="Arial" w:hint="default"/>
      </w:rPr>
    </w:lvl>
    <w:lvl w:ilvl="5" w:tplc="EE2250C0" w:tentative="1">
      <w:start w:val="1"/>
      <w:numFmt w:val="bullet"/>
      <w:lvlText w:val="•"/>
      <w:lvlJc w:val="left"/>
      <w:pPr>
        <w:tabs>
          <w:tab w:val="num" w:pos="4320"/>
        </w:tabs>
        <w:ind w:left="4320" w:hanging="360"/>
      </w:pPr>
      <w:rPr>
        <w:rFonts w:ascii="Arial" w:hAnsi="Arial" w:hint="default"/>
      </w:rPr>
    </w:lvl>
    <w:lvl w:ilvl="6" w:tplc="683ADE0E" w:tentative="1">
      <w:start w:val="1"/>
      <w:numFmt w:val="bullet"/>
      <w:lvlText w:val="•"/>
      <w:lvlJc w:val="left"/>
      <w:pPr>
        <w:tabs>
          <w:tab w:val="num" w:pos="5040"/>
        </w:tabs>
        <w:ind w:left="5040" w:hanging="360"/>
      </w:pPr>
      <w:rPr>
        <w:rFonts w:ascii="Arial" w:hAnsi="Arial" w:hint="default"/>
      </w:rPr>
    </w:lvl>
    <w:lvl w:ilvl="7" w:tplc="5FC8095E" w:tentative="1">
      <w:start w:val="1"/>
      <w:numFmt w:val="bullet"/>
      <w:lvlText w:val="•"/>
      <w:lvlJc w:val="left"/>
      <w:pPr>
        <w:tabs>
          <w:tab w:val="num" w:pos="5760"/>
        </w:tabs>
        <w:ind w:left="5760" w:hanging="360"/>
      </w:pPr>
      <w:rPr>
        <w:rFonts w:ascii="Arial" w:hAnsi="Arial" w:hint="default"/>
      </w:rPr>
    </w:lvl>
    <w:lvl w:ilvl="8" w:tplc="D73A4D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FD3E1E"/>
    <w:multiLevelType w:val="hybridMultilevel"/>
    <w:tmpl w:val="95267756"/>
    <w:lvl w:ilvl="0" w:tplc="9314CCE8">
      <w:start w:val="1"/>
      <w:numFmt w:val="bullet"/>
      <w:lvlText w:val="•"/>
      <w:lvlJc w:val="left"/>
      <w:pPr>
        <w:tabs>
          <w:tab w:val="num" w:pos="720"/>
        </w:tabs>
        <w:ind w:left="720" w:hanging="360"/>
      </w:pPr>
      <w:rPr>
        <w:rFonts w:ascii="Arial" w:hAnsi="Arial" w:hint="default"/>
      </w:rPr>
    </w:lvl>
    <w:lvl w:ilvl="1" w:tplc="7876C3BE" w:tentative="1">
      <w:start w:val="1"/>
      <w:numFmt w:val="bullet"/>
      <w:lvlText w:val="•"/>
      <w:lvlJc w:val="left"/>
      <w:pPr>
        <w:tabs>
          <w:tab w:val="num" w:pos="1440"/>
        </w:tabs>
        <w:ind w:left="1440" w:hanging="360"/>
      </w:pPr>
      <w:rPr>
        <w:rFonts w:ascii="Arial" w:hAnsi="Arial" w:hint="default"/>
      </w:rPr>
    </w:lvl>
    <w:lvl w:ilvl="2" w:tplc="DC765788" w:tentative="1">
      <w:start w:val="1"/>
      <w:numFmt w:val="bullet"/>
      <w:lvlText w:val="•"/>
      <w:lvlJc w:val="left"/>
      <w:pPr>
        <w:tabs>
          <w:tab w:val="num" w:pos="2160"/>
        </w:tabs>
        <w:ind w:left="2160" w:hanging="360"/>
      </w:pPr>
      <w:rPr>
        <w:rFonts w:ascii="Arial" w:hAnsi="Arial" w:hint="default"/>
      </w:rPr>
    </w:lvl>
    <w:lvl w:ilvl="3" w:tplc="616CD368" w:tentative="1">
      <w:start w:val="1"/>
      <w:numFmt w:val="bullet"/>
      <w:lvlText w:val="•"/>
      <w:lvlJc w:val="left"/>
      <w:pPr>
        <w:tabs>
          <w:tab w:val="num" w:pos="2880"/>
        </w:tabs>
        <w:ind w:left="2880" w:hanging="360"/>
      </w:pPr>
      <w:rPr>
        <w:rFonts w:ascii="Arial" w:hAnsi="Arial" w:hint="default"/>
      </w:rPr>
    </w:lvl>
    <w:lvl w:ilvl="4" w:tplc="DED2BAA8" w:tentative="1">
      <w:start w:val="1"/>
      <w:numFmt w:val="bullet"/>
      <w:lvlText w:val="•"/>
      <w:lvlJc w:val="left"/>
      <w:pPr>
        <w:tabs>
          <w:tab w:val="num" w:pos="3600"/>
        </w:tabs>
        <w:ind w:left="3600" w:hanging="360"/>
      </w:pPr>
      <w:rPr>
        <w:rFonts w:ascii="Arial" w:hAnsi="Arial" w:hint="default"/>
      </w:rPr>
    </w:lvl>
    <w:lvl w:ilvl="5" w:tplc="520888E0" w:tentative="1">
      <w:start w:val="1"/>
      <w:numFmt w:val="bullet"/>
      <w:lvlText w:val="•"/>
      <w:lvlJc w:val="left"/>
      <w:pPr>
        <w:tabs>
          <w:tab w:val="num" w:pos="4320"/>
        </w:tabs>
        <w:ind w:left="4320" w:hanging="360"/>
      </w:pPr>
      <w:rPr>
        <w:rFonts w:ascii="Arial" w:hAnsi="Arial" w:hint="default"/>
      </w:rPr>
    </w:lvl>
    <w:lvl w:ilvl="6" w:tplc="7248CF8E" w:tentative="1">
      <w:start w:val="1"/>
      <w:numFmt w:val="bullet"/>
      <w:lvlText w:val="•"/>
      <w:lvlJc w:val="left"/>
      <w:pPr>
        <w:tabs>
          <w:tab w:val="num" w:pos="5040"/>
        </w:tabs>
        <w:ind w:left="5040" w:hanging="360"/>
      </w:pPr>
      <w:rPr>
        <w:rFonts w:ascii="Arial" w:hAnsi="Arial" w:hint="default"/>
      </w:rPr>
    </w:lvl>
    <w:lvl w:ilvl="7" w:tplc="04EE94CE" w:tentative="1">
      <w:start w:val="1"/>
      <w:numFmt w:val="bullet"/>
      <w:lvlText w:val="•"/>
      <w:lvlJc w:val="left"/>
      <w:pPr>
        <w:tabs>
          <w:tab w:val="num" w:pos="5760"/>
        </w:tabs>
        <w:ind w:left="5760" w:hanging="360"/>
      </w:pPr>
      <w:rPr>
        <w:rFonts w:ascii="Arial" w:hAnsi="Arial" w:hint="default"/>
      </w:rPr>
    </w:lvl>
    <w:lvl w:ilvl="8" w:tplc="399C81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4671BE"/>
    <w:multiLevelType w:val="hybridMultilevel"/>
    <w:tmpl w:val="A614D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3811">
    <w:abstractNumId w:val="6"/>
  </w:num>
  <w:num w:numId="2" w16cid:durableId="1482386077">
    <w:abstractNumId w:val="2"/>
  </w:num>
  <w:num w:numId="3" w16cid:durableId="453989377">
    <w:abstractNumId w:val="8"/>
  </w:num>
  <w:num w:numId="4" w16cid:durableId="1429081988">
    <w:abstractNumId w:val="3"/>
  </w:num>
  <w:num w:numId="5" w16cid:durableId="483089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714576">
    <w:abstractNumId w:val="12"/>
    <w:lvlOverride w:ilvl="0"/>
    <w:lvlOverride w:ilvl="1">
      <w:startOverride w:val="1"/>
    </w:lvlOverride>
    <w:lvlOverride w:ilvl="2"/>
    <w:lvlOverride w:ilvl="3"/>
    <w:lvlOverride w:ilvl="4"/>
    <w:lvlOverride w:ilvl="5"/>
    <w:lvlOverride w:ilvl="6"/>
    <w:lvlOverride w:ilvl="7"/>
    <w:lvlOverride w:ilvl="8"/>
  </w:num>
  <w:num w:numId="7" w16cid:durableId="843133612">
    <w:abstractNumId w:val="7"/>
  </w:num>
  <w:num w:numId="8" w16cid:durableId="1452625007">
    <w:abstractNumId w:val="17"/>
  </w:num>
  <w:num w:numId="9" w16cid:durableId="348793767">
    <w:abstractNumId w:val="0"/>
  </w:num>
  <w:num w:numId="10" w16cid:durableId="989558340">
    <w:abstractNumId w:val="21"/>
  </w:num>
  <w:num w:numId="11" w16cid:durableId="31537760">
    <w:abstractNumId w:val="14"/>
  </w:num>
  <w:num w:numId="12" w16cid:durableId="1933128852">
    <w:abstractNumId w:val="15"/>
  </w:num>
  <w:num w:numId="13" w16cid:durableId="1393963869">
    <w:abstractNumId w:val="4"/>
  </w:num>
  <w:num w:numId="14" w16cid:durableId="1699887347">
    <w:abstractNumId w:val="19"/>
  </w:num>
  <w:num w:numId="15" w16cid:durableId="1433744627">
    <w:abstractNumId w:val="20"/>
  </w:num>
  <w:num w:numId="16" w16cid:durableId="44060947">
    <w:abstractNumId w:val="16"/>
  </w:num>
  <w:num w:numId="17" w16cid:durableId="972251408">
    <w:abstractNumId w:val="18"/>
  </w:num>
  <w:num w:numId="18" w16cid:durableId="896936633">
    <w:abstractNumId w:val="9"/>
  </w:num>
  <w:num w:numId="19" w16cid:durableId="573472236">
    <w:abstractNumId w:val="5"/>
  </w:num>
  <w:num w:numId="20" w16cid:durableId="745879960">
    <w:abstractNumId w:val="13"/>
  </w:num>
  <w:num w:numId="21" w16cid:durableId="1526283156">
    <w:abstractNumId w:val="1"/>
  </w:num>
  <w:num w:numId="22" w16cid:durableId="615336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9F"/>
    <w:rsid w:val="000018AB"/>
    <w:rsid w:val="00006CB8"/>
    <w:rsid w:val="00011D66"/>
    <w:rsid w:val="00037909"/>
    <w:rsid w:val="00045EE8"/>
    <w:rsid w:val="0005100D"/>
    <w:rsid w:val="00057F61"/>
    <w:rsid w:val="00060F4E"/>
    <w:rsid w:val="000761B8"/>
    <w:rsid w:val="00080073"/>
    <w:rsid w:val="0009067B"/>
    <w:rsid w:val="00095C89"/>
    <w:rsid w:val="00096774"/>
    <w:rsid w:val="00096E90"/>
    <w:rsid w:val="000A6179"/>
    <w:rsid w:val="000A7360"/>
    <w:rsid w:val="000B4288"/>
    <w:rsid w:val="000B4D14"/>
    <w:rsid w:val="000B5C30"/>
    <w:rsid w:val="000B7D6C"/>
    <w:rsid w:val="000D26DC"/>
    <w:rsid w:val="000D4B1E"/>
    <w:rsid w:val="000D7D55"/>
    <w:rsid w:val="000E3E3E"/>
    <w:rsid w:val="000E59FA"/>
    <w:rsid w:val="000F002E"/>
    <w:rsid w:val="000F0DC5"/>
    <w:rsid w:val="000F157F"/>
    <w:rsid w:val="000F3BBE"/>
    <w:rsid w:val="000F5F20"/>
    <w:rsid w:val="00110316"/>
    <w:rsid w:val="00110CDA"/>
    <w:rsid w:val="00127408"/>
    <w:rsid w:val="00134105"/>
    <w:rsid w:val="001346E4"/>
    <w:rsid w:val="001358AF"/>
    <w:rsid w:val="001568EC"/>
    <w:rsid w:val="0016015C"/>
    <w:rsid w:val="001646D1"/>
    <w:rsid w:val="00166C0F"/>
    <w:rsid w:val="00172657"/>
    <w:rsid w:val="00172A9B"/>
    <w:rsid w:val="001757FF"/>
    <w:rsid w:val="00176814"/>
    <w:rsid w:val="00176A2C"/>
    <w:rsid w:val="00182109"/>
    <w:rsid w:val="001911A8"/>
    <w:rsid w:val="00191395"/>
    <w:rsid w:val="00196D34"/>
    <w:rsid w:val="001A327C"/>
    <w:rsid w:val="001A4D09"/>
    <w:rsid w:val="001B0EAB"/>
    <w:rsid w:val="001C1424"/>
    <w:rsid w:val="001C5ABD"/>
    <w:rsid w:val="001C7C7D"/>
    <w:rsid w:val="001D093F"/>
    <w:rsid w:val="001E785D"/>
    <w:rsid w:val="001F4B22"/>
    <w:rsid w:val="001F6556"/>
    <w:rsid w:val="001F78B2"/>
    <w:rsid w:val="00200653"/>
    <w:rsid w:val="002145A5"/>
    <w:rsid w:val="0022092A"/>
    <w:rsid w:val="0024043A"/>
    <w:rsid w:val="00240A6D"/>
    <w:rsid w:val="00240BA4"/>
    <w:rsid w:val="00253613"/>
    <w:rsid w:val="00254F83"/>
    <w:rsid w:val="00284B66"/>
    <w:rsid w:val="00295FAA"/>
    <w:rsid w:val="002A2F55"/>
    <w:rsid w:val="002A3CCF"/>
    <w:rsid w:val="002B1130"/>
    <w:rsid w:val="002B1B69"/>
    <w:rsid w:val="002C28A4"/>
    <w:rsid w:val="002C5169"/>
    <w:rsid w:val="002C7CCA"/>
    <w:rsid w:val="002E2D75"/>
    <w:rsid w:val="00302625"/>
    <w:rsid w:val="00304B22"/>
    <w:rsid w:val="00305F97"/>
    <w:rsid w:val="003061E1"/>
    <w:rsid w:val="0032225C"/>
    <w:rsid w:val="00324A86"/>
    <w:rsid w:val="0032666E"/>
    <w:rsid w:val="0032679F"/>
    <w:rsid w:val="00326FED"/>
    <w:rsid w:val="00327D09"/>
    <w:rsid w:val="003322F6"/>
    <w:rsid w:val="00332824"/>
    <w:rsid w:val="00333590"/>
    <w:rsid w:val="003341A4"/>
    <w:rsid w:val="00337D45"/>
    <w:rsid w:val="00340434"/>
    <w:rsid w:val="003506DD"/>
    <w:rsid w:val="00350F27"/>
    <w:rsid w:val="0036129B"/>
    <w:rsid w:val="003613FD"/>
    <w:rsid w:val="00362DB0"/>
    <w:rsid w:val="003702E4"/>
    <w:rsid w:val="00384FD6"/>
    <w:rsid w:val="003B2977"/>
    <w:rsid w:val="003B7FD3"/>
    <w:rsid w:val="003C100D"/>
    <w:rsid w:val="003C3AF8"/>
    <w:rsid w:val="003C3F3B"/>
    <w:rsid w:val="003C7A1B"/>
    <w:rsid w:val="003D656B"/>
    <w:rsid w:val="003E19CD"/>
    <w:rsid w:val="003E1FBC"/>
    <w:rsid w:val="003E2898"/>
    <w:rsid w:val="003E3094"/>
    <w:rsid w:val="003E57ED"/>
    <w:rsid w:val="003E7C86"/>
    <w:rsid w:val="003F2B77"/>
    <w:rsid w:val="003F685D"/>
    <w:rsid w:val="003F691C"/>
    <w:rsid w:val="00406456"/>
    <w:rsid w:val="004122F4"/>
    <w:rsid w:val="004333BC"/>
    <w:rsid w:val="00433838"/>
    <w:rsid w:val="00433AE6"/>
    <w:rsid w:val="00445142"/>
    <w:rsid w:val="00447A9F"/>
    <w:rsid w:val="00453948"/>
    <w:rsid w:val="00453DCC"/>
    <w:rsid w:val="004577E3"/>
    <w:rsid w:val="00457A8D"/>
    <w:rsid w:val="00463109"/>
    <w:rsid w:val="00466FCE"/>
    <w:rsid w:val="00472637"/>
    <w:rsid w:val="004763BA"/>
    <w:rsid w:val="00476B73"/>
    <w:rsid w:val="004A2F50"/>
    <w:rsid w:val="004B252D"/>
    <w:rsid w:val="004B2E15"/>
    <w:rsid w:val="004B738E"/>
    <w:rsid w:val="004C4165"/>
    <w:rsid w:val="004C5C33"/>
    <w:rsid w:val="004D1670"/>
    <w:rsid w:val="004D3282"/>
    <w:rsid w:val="004E1B50"/>
    <w:rsid w:val="004E53AA"/>
    <w:rsid w:val="004E7BB8"/>
    <w:rsid w:val="005008F5"/>
    <w:rsid w:val="00505183"/>
    <w:rsid w:val="00510304"/>
    <w:rsid w:val="00520A7E"/>
    <w:rsid w:val="00525905"/>
    <w:rsid w:val="005337CA"/>
    <w:rsid w:val="0053383E"/>
    <w:rsid w:val="00536389"/>
    <w:rsid w:val="0054211A"/>
    <w:rsid w:val="00546892"/>
    <w:rsid w:val="005532A7"/>
    <w:rsid w:val="005606F3"/>
    <w:rsid w:val="005669CB"/>
    <w:rsid w:val="00572D92"/>
    <w:rsid w:val="005A7383"/>
    <w:rsid w:val="005B0221"/>
    <w:rsid w:val="005B1B44"/>
    <w:rsid w:val="005D0A87"/>
    <w:rsid w:val="005D0F40"/>
    <w:rsid w:val="005D3F2D"/>
    <w:rsid w:val="005D7064"/>
    <w:rsid w:val="005D74F4"/>
    <w:rsid w:val="005D75C6"/>
    <w:rsid w:val="005F088D"/>
    <w:rsid w:val="005F3391"/>
    <w:rsid w:val="005F39B2"/>
    <w:rsid w:val="00601B46"/>
    <w:rsid w:val="006103A8"/>
    <w:rsid w:val="00610D0C"/>
    <w:rsid w:val="00616551"/>
    <w:rsid w:val="00625D85"/>
    <w:rsid w:val="00626F9F"/>
    <w:rsid w:val="006276E7"/>
    <w:rsid w:val="0063175F"/>
    <w:rsid w:val="00634E1E"/>
    <w:rsid w:val="0063572E"/>
    <w:rsid w:val="00636228"/>
    <w:rsid w:val="006401A4"/>
    <w:rsid w:val="00646C26"/>
    <w:rsid w:val="00656B75"/>
    <w:rsid w:val="006630CD"/>
    <w:rsid w:val="00666F54"/>
    <w:rsid w:val="00670C5A"/>
    <w:rsid w:val="00671215"/>
    <w:rsid w:val="00683707"/>
    <w:rsid w:val="00691090"/>
    <w:rsid w:val="0069651B"/>
    <w:rsid w:val="006A0372"/>
    <w:rsid w:val="006A461F"/>
    <w:rsid w:val="006A615B"/>
    <w:rsid w:val="006D2A50"/>
    <w:rsid w:val="006D63B8"/>
    <w:rsid w:val="006D78EF"/>
    <w:rsid w:val="006E276C"/>
    <w:rsid w:val="006F3837"/>
    <w:rsid w:val="006F467F"/>
    <w:rsid w:val="006F76A2"/>
    <w:rsid w:val="0070262A"/>
    <w:rsid w:val="00722BF1"/>
    <w:rsid w:val="00722C3F"/>
    <w:rsid w:val="00732D3B"/>
    <w:rsid w:val="0074327E"/>
    <w:rsid w:val="007542DB"/>
    <w:rsid w:val="00766DCA"/>
    <w:rsid w:val="00780DDE"/>
    <w:rsid w:val="00783F2C"/>
    <w:rsid w:val="00790B59"/>
    <w:rsid w:val="00792B7D"/>
    <w:rsid w:val="00796AFC"/>
    <w:rsid w:val="007A10C1"/>
    <w:rsid w:val="007C61AB"/>
    <w:rsid w:val="007D1F37"/>
    <w:rsid w:val="007E0128"/>
    <w:rsid w:val="007E1B20"/>
    <w:rsid w:val="007E46F1"/>
    <w:rsid w:val="007E79BD"/>
    <w:rsid w:val="007F12EE"/>
    <w:rsid w:val="007F42F2"/>
    <w:rsid w:val="00804BF8"/>
    <w:rsid w:val="00806F09"/>
    <w:rsid w:val="00821DF4"/>
    <w:rsid w:val="0082646E"/>
    <w:rsid w:val="008265C5"/>
    <w:rsid w:val="00835380"/>
    <w:rsid w:val="00836CC2"/>
    <w:rsid w:val="008507E2"/>
    <w:rsid w:val="00850C91"/>
    <w:rsid w:val="00855507"/>
    <w:rsid w:val="00855BAB"/>
    <w:rsid w:val="00861125"/>
    <w:rsid w:val="0086451D"/>
    <w:rsid w:val="0087745C"/>
    <w:rsid w:val="008A3C8E"/>
    <w:rsid w:val="008A5A89"/>
    <w:rsid w:val="008A6BEA"/>
    <w:rsid w:val="008C0982"/>
    <w:rsid w:val="008C35B6"/>
    <w:rsid w:val="008C3E7A"/>
    <w:rsid w:val="008D06FD"/>
    <w:rsid w:val="008E2ACE"/>
    <w:rsid w:val="008E32D1"/>
    <w:rsid w:val="008E33E4"/>
    <w:rsid w:val="008E5506"/>
    <w:rsid w:val="00900349"/>
    <w:rsid w:val="009028C5"/>
    <w:rsid w:val="00906D5E"/>
    <w:rsid w:val="00914592"/>
    <w:rsid w:val="00914D64"/>
    <w:rsid w:val="009236DE"/>
    <w:rsid w:val="00926933"/>
    <w:rsid w:val="00933B1D"/>
    <w:rsid w:val="0095125F"/>
    <w:rsid w:val="009615E5"/>
    <w:rsid w:val="00961FE0"/>
    <w:rsid w:val="009706F0"/>
    <w:rsid w:val="00973639"/>
    <w:rsid w:val="009827C8"/>
    <w:rsid w:val="00983EB6"/>
    <w:rsid w:val="00983F25"/>
    <w:rsid w:val="0098626C"/>
    <w:rsid w:val="009965B6"/>
    <w:rsid w:val="009B460F"/>
    <w:rsid w:val="009C0593"/>
    <w:rsid w:val="009C1E6D"/>
    <w:rsid w:val="009E597C"/>
    <w:rsid w:val="009F3EFC"/>
    <w:rsid w:val="009F4AFE"/>
    <w:rsid w:val="009F4D3F"/>
    <w:rsid w:val="009F6DA0"/>
    <w:rsid w:val="00A030BF"/>
    <w:rsid w:val="00A1667B"/>
    <w:rsid w:val="00A2188F"/>
    <w:rsid w:val="00A22B08"/>
    <w:rsid w:val="00A232F3"/>
    <w:rsid w:val="00A24A4E"/>
    <w:rsid w:val="00A24C66"/>
    <w:rsid w:val="00A35420"/>
    <w:rsid w:val="00A4103B"/>
    <w:rsid w:val="00A41F8D"/>
    <w:rsid w:val="00A46675"/>
    <w:rsid w:val="00A4675F"/>
    <w:rsid w:val="00A54D76"/>
    <w:rsid w:val="00A5549C"/>
    <w:rsid w:val="00A56083"/>
    <w:rsid w:val="00A57CCA"/>
    <w:rsid w:val="00A6209C"/>
    <w:rsid w:val="00A637F5"/>
    <w:rsid w:val="00A678B9"/>
    <w:rsid w:val="00A707F3"/>
    <w:rsid w:val="00A71560"/>
    <w:rsid w:val="00A740CF"/>
    <w:rsid w:val="00A810C1"/>
    <w:rsid w:val="00A82396"/>
    <w:rsid w:val="00A835D6"/>
    <w:rsid w:val="00A85532"/>
    <w:rsid w:val="00A936D8"/>
    <w:rsid w:val="00A97F73"/>
    <w:rsid w:val="00AA239B"/>
    <w:rsid w:val="00AC57D3"/>
    <w:rsid w:val="00AC5D8D"/>
    <w:rsid w:val="00AE0B33"/>
    <w:rsid w:val="00AF21AB"/>
    <w:rsid w:val="00AF222D"/>
    <w:rsid w:val="00AF5FED"/>
    <w:rsid w:val="00B1075F"/>
    <w:rsid w:val="00B1283A"/>
    <w:rsid w:val="00B2301B"/>
    <w:rsid w:val="00B236BE"/>
    <w:rsid w:val="00B2476A"/>
    <w:rsid w:val="00B325E7"/>
    <w:rsid w:val="00B328B7"/>
    <w:rsid w:val="00B3300A"/>
    <w:rsid w:val="00B35234"/>
    <w:rsid w:val="00B4148E"/>
    <w:rsid w:val="00B41CB1"/>
    <w:rsid w:val="00B4549D"/>
    <w:rsid w:val="00B50E82"/>
    <w:rsid w:val="00B53379"/>
    <w:rsid w:val="00B54180"/>
    <w:rsid w:val="00B60377"/>
    <w:rsid w:val="00B61ED5"/>
    <w:rsid w:val="00B62525"/>
    <w:rsid w:val="00B670E9"/>
    <w:rsid w:val="00B75B86"/>
    <w:rsid w:val="00B80A13"/>
    <w:rsid w:val="00B81D6D"/>
    <w:rsid w:val="00B8205E"/>
    <w:rsid w:val="00B83257"/>
    <w:rsid w:val="00B87415"/>
    <w:rsid w:val="00B958FA"/>
    <w:rsid w:val="00B97FEB"/>
    <w:rsid w:val="00BB1A3D"/>
    <w:rsid w:val="00BB266C"/>
    <w:rsid w:val="00BB391D"/>
    <w:rsid w:val="00BB40FD"/>
    <w:rsid w:val="00BC1BCF"/>
    <w:rsid w:val="00BC25C0"/>
    <w:rsid w:val="00BC5691"/>
    <w:rsid w:val="00BD468A"/>
    <w:rsid w:val="00BE12EE"/>
    <w:rsid w:val="00C0490E"/>
    <w:rsid w:val="00C11230"/>
    <w:rsid w:val="00C16179"/>
    <w:rsid w:val="00C167F7"/>
    <w:rsid w:val="00C17913"/>
    <w:rsid w:val="00C17DA5"/>
    <w:rsid w:val="00C20A43"/>
    <w:rsid w:val="00C224F1"/>
    <w:rsid w:val="00C23B2B"/>
    <w:rsid w:val="00C26841"/>
    <w:rsid w:val="00C53C1A"/>
    <w:rsid w:val="00C55917"/>
    <w:rsid w:val="00C602F2"/>
    <w:rsid w:val="00C67959"/>
    <w:rsid w:val="00C754C8"/>
    <w:rsid w:val="00C806FD"/>
    <w:rsid w:val="00C860B4"/>
    <w:rsid w:val="00C9057E"/>
    <w:rsid w:val="00C92776"/>
    <w:rsid w:val="00C94FA8"/>
    <w:rsid w:val="00C95EC4"/>
    <w:rsid w:val="00C9787A"/>
    <w:rsid w:val="00CA1441"/>
    <w:rsid w:val="00CA28BE"/>
    <w:rsid w:val="00CA2E7F"/>
    <w:rsid w:val="00CA46C7"/>
    <w:rsid w:val="00CC0040"/>
    <w:rsid w:val="00CC5366"/>
    <w:rsid w:val="00CC6506"/>
    <w:rsid w:val="00CD6320"/>
    <w:rsid w:val="00D05F41"/>
    <w:rsid w:val="00D07D50"/>
    <w:rsid w:val="00D14640"/>
    <w:rsid w:val="00D238FF"/>
    <w:rsid w:val="00D25E0A"/>
    <w:rsid w:val="00D32CA2"/>
    <w:rsid w:val="00D3611D"/>
    <w:rsid w:val="00D564A7"/>
    <w:rsid w:val="00D57150"/>
    <w:rsid w:val="00D65074"/>
    <w:rsid w:val="00D736FE"/>
    <w:rsid w:val="00D73971"/>
    <w:rsid w:val="00D82A6A"/>
    <w:rsid w:val="00D83E40"/>
    <w:rsid w:val="00D86063"/>
    <w:rsid w:val="00D90B76"/>
    <w:rsid w:val="00D94973"/>
    <w:rsid w:val="00DA026F"/>
    <w:rsid w:val="00DB380D"/>
    <w:rsid w:val="00DC095A"/>
    <w:rsid w:val="00DC2EC8"/>
    <w:rsid w:val="00DC3104"/>
    <w:rsid w:val="00DC55C1"/>
    <w:rsid w:val="00DC5685"/>
    <w:rsid w:val="00DC7F13"/>
    <w:rsid w:val="00DD502A"/>
    <w:rsid w:val="00DD66B6"/>
    <w:rsid w:val="00E01E18"/>
    <w:rsid w:val="00E02F09"/>
    <w:rsid w:val="00E2446F"/>
    <w:rsid w:val="00E3299B"/>
    <w:rsid w:val="00E44FEB"/>
    <w:rsid w:val="00E57B12"/>
    <w:rsid w:val="00E640CC"/>
    <w:rsid w:val="00E670D7"/>
    <w:rsid w:val="00E67C69"/>
    <w:rsid w:val="00E77FC5"/>
    <w:rsid w:val="00E85E49"/>
    <w:rsid w:val="00E936C8"/>
    <w:rsid w:val="00E942B4"/>
    <w:rsid w:val="00E951F9"/>
    <w:rsid w:val="00EA219D"/>
    <w:rsid w:val="00EA46F3"/>
    <w:rsid w:val="00EA76D1"/>
    <w:rsid w:val="00EB5118"/>
    <w:rsid w:val="00EC4E05"/>
    <w:rsid w:val="00ED47F9"/>
    <w:rsid w:val="00ED5468"/>
    <w:rsid w:val="00ED7372"/>
    <w:rsid w:val="00EE2811"/>
    <w:rsid w:val="00EE3C5D"/>
    <w:rsid w:val="00EE6B6D"/>
    <w:rsid w:val="00F06998"/>
    <w:rsid w:val="00F14761"/>
    <w:rsid w:val="00F26042"/>
    <w:rsid w:val="00F26062"/>
    <w:rsid w:val="00F337A6"/>
    <w:rsid w:val="00F42F16"/>
    <w:rsid w:val="00F465A6"/>
    <w:rsid w:val="00F51F2B"/>
    <w:rsid w:val="00F61BCB"/>
    <w:rsid w:val="00F62438"/>
    <w:rsid w:val="00F67E0A"/>
    <w:rsid w:val="00F723B9"/>
    <w:rsid w:val="00F72BAE"/>
    <w:rsid w:val="00F80508"/>
    <w:rsid w:val="00F9593B"/>
    <w:rsid w:val="00F96AAD"/>
    <w:rsid w:val="00FA0356"/>
    <w:rsid w:val="00FA3988"/>
    <w:rsid w:val="00FB08B9"/>
    <w:rsid w:val="00FB0A25"/>
    <w:rsid w:val="00FB3B09"/>
    <w:rsid w:val="00FB5B3A"/>
    <w:rsid w:val="00FC1B26"/>
    <w:rsid w:val="00FC7C52"/>
    <w:rsid w:val="00FD12D0"/>
    <w:rsid w:val="00FD1EAF"/>
    <w:rsid w:val="00FD21FE"/>
    <w:rsid w:val="00FE5988"/>
    <w:rsid w:val="00FE64D2"/>
    <w:rsid w:val="00FF02D5"/>
    <w:rsid w:val="00FF0862"/>
    <w:rsid w:val="00FF3D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4026"/>
  <w15:docId w15:val="{8FA09C0D-B384-4613-AC1C-A9EA668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43"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D"/>
  </w:style>
  <w:style w:type="paragraph" w:styleId="Heading1">
    <w:name w:val="heading 1"/>
    <w:basedOn w:val="Normal"/>
    <w:next w:val="Normal"/>
    <w:uiPriority w:val="9"/>
    <w:qFormat/>
    <w:pPr>
      <w:keepNext/>
      <w:keepLines/>
      <w:pBdr>
        <w:top w:val="nil"/>
        <w:left w:val="nil"/>
        <w:bottom w:val="nil"/>
        <w:right w:val="nil"/>
        <w:between w:val="nil"/>
      </w:pBdr>
      <w:shd w:val="clear" w:color="auto" w:fill="31849B"/>
      <w:spacing w:after="171" w:line="259" w:lineRule="auto"/>
      <w:ind w:right="67" w:hanging="10"/>
      <w:jc w:val="center"/>
      <w:outlineLvl w:val="0"/>
    </w:pPr>
    <w:rPr>
      <w:b/>
      <w:color w:val="FFFFFF"/>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26" w:line="259" w:lineRule="auto"/>
      <w:ind w:hanging="10"/>
      <w:outlineLvl w:val="1"/>
    </w:pPr>
    <w:rPr>
      <w:color w:val="000000"/>
      <w:highlight w:val="yello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E57ED"/>
    <w:rPr>
      <w:color w:val="0000FF" w:themeColor="hyperlink"/>
      <w:u w:val="single"/>
    </w:rPr>
  </w:style>
  <w:style w:type="character" w:styleId="UnresolvedMention">
    <w:name w:val="Unresolved Mention"/>
    <w:basedOn w:val="DefaultParagraphFont"/>
    <w:uiPriority w:val="99"/>
    <w:semiHidden/>
    <w:unhideWhenUsed/>
    <w:rsid w:val="003E57ED"/>
    <w:rPr>
      <w:color w:val="605E5C"/>
      <w:shd w:val="clear" w:color="auto" w:fill="E1DFDD"/>
    </w:rPr>
  </w:style>
  <w:style w:type="character" w:styleId="FollowedHyperlink">
    <w:name w:val="FollowedHyperlink"/>
    <w:basedOn w:val="DefaultParagraphFont"/>
    <w:uiPriority w:val="99"/>
    <w:semiHidden/>
    <w:unhideWhenUsed/>
    <w:rsid w:val="003E57ED"/>
    <w:rPr>
      <w:color w:val="800080" w:themeColor="followedHyperlink"/>
      <w:u w:val="single"/>
    </w:rPr>
  </w:style>
  <w:style w:type="paragraph" w:styleId="NormalWeb">
    <w:name w:val="Normal (Web)"/>
    <w:basedOn w:val="Normal"/>
    <w:uiPriority w:val="99"/>
    <w:unhideWhenUsed/>
    <w:rsid w:val="00182109"/>
    <w:pPr>
      <w:spacing w:before="100" w:beforeAutospacing="1" w:after="100" w:afterAutospacing="1" w:line="240" w:lineRule="auto"/>
      <w:ind w:left="0"/>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337D45"/>
    <w:rPr>
      <w:b/>
      <w:bCs/>
    </w:rPr>
  </w:style>
  <w:style w:type="character" w:customStyle="1" w:styleId="CommentSubjectChar">
    <w:name w:val="Comment Subject Char"/>
    <w:basedOn w:val="CommentTextChar"/>
    <w:link w:val="CommentSubject"/>
    <w:uiPriority w:val="99"/>
    <w:semiHidden/>
    <w:rsid w:val="00337D45"/>
    <w:rPr>
      <w:b/>
      <w:bCs/>
      <w:sz w:val="20"/>
      <w:szCs w:val="20"/>
    </w:rPr>
  </w:style>
  <w:style w:type="table" w:styleId="TableGrid">
    <w:name w:val="Table Grid"/>
    <w:basedOn w:val="TableNormal"/>
    <w:uiPriority w:val="39"/>
    <w:rsid w:val="001346E4"/>
    <w:pPr>
      <w:spacing w:after="0" w:line="240" w:lineRule="auto"/>
      <w:ind w:left="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6E4"/>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836CC2"/>
    <w:pPr>
      <w:spacing w:after="0" w:line="240" w:lineRule="auto"/>
      <w:ind w:left="0"/>
    </w:pPr>
  </w:style>
  <w:style w:type="paragraph" w:styleId="FootnoteText">
    <w:name w:val="footnote text"/>
    <w:basedOn w:val="Normal"/>
    <w:link w:val="FootnoteTextChar"/>
    <w:uiPriority w:val="99"/>
    <w:semiHidden/>
    <w:unhideWhenUsed/>
    <w:rsid w:val="00080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73"/>
    <w:rPr>
      <w:sz w:val="20"/>
      <w:szCs w:val="20"/>
    </w:rPr>
  </w:style>
  <w:style w:type="character" w:styleId="FootnoteReference">
    <w:name w:val="footnote reference"/>
    <w:basedOn w:val="DefaultParagraphFont"/>
    <w:uiPriority w:val="99"/>
    <w:semiHidden/>
    <w:unhideWhenUsed/>
    <w:rsid w:val="00080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17">
      <w:bodyDiv w:val="1"/>
      <w:marLeft w:val="0"/>
      <w:marRight w:val="0"/>
      <w:marTop w:val="0"/>
      <w:marBottom w:val="0"/>
      <w:divBdr>
        <w:top w:val="none" w:sz="0" w:space="0" w:color="auto"/>
        <w:left w:val="none" w:sz="0" w:space="0" w:color="auto"/>
        <w:bottom w:val="none" w:sz="0" w:space="0" w:color="auto"/>
        <w:right w:val="none" w:sz="0" w:space="0" w:color="auto"/>
      </w:divBdr>
      <w:divsChild>
        <w:div w:id="1402753042">
          <w:marLeft w:val="446"/>
          <w:marRight w:val="0"/>
          <w:marTop w:val="0"/>
          <w:marBottom w:val="0"/>
          <w:divBdr>
            <w:top w:val="none" w:sz="0" w:space="0" w:color="auto"/>
            <w:left w:val="none" w:sz="0" w:space="0" w:color="auto"/>
            <w:bottom w:val="none" w:sz="0" w:space="0" w:color="auto"/>
            <w:right w:val="none" w:sz="0" w:space="0" w:color="auto"/>
          </w:divBdr>
        </w:div>
        <w:div w:id="2140218534">
          <w:marLeft w:val="446"/>
          <w:marRight w:val="0"/>
          <w:marTop w:val="0"/>
          <w:marBottom w:val="0"/>
          <w:divBdr>
            <w:top w:val="none" w:sz="0" w:space="0" w:color="auto"/>
            <w:left w:val="none" w:sz="0" w:space="0" w:color="auto"/>
            <w:bottom w:val="none" w:sz="0" w:space="0" w:color="auto"/>
            <w:right w:val="none" w:sz="0" w:space="0" w:color="auto"/>
          </w:divBdr>
        </w:div>
      </w:divsChild>
    </w:div>
    <w:div w:id="268048698">
      <w:bodyDiv w:val="1"/>
      <w:marLeft w:val="0"/>
      <w:marRight w:val="0"/>
      <w:marTop w:val="0"/>
      <w:marBottom w:val="0"/>
      <w:divBdr>
        <w:top w:val="none" w:sz="0" w:space="0" w:color="auto"/>
        <w:left w:val="none" w:sz="0" w:space="0" w:color="auto"/>
        <w:bottom w:val="none" w:sz="0" w:space="0" w:color="auto"/>
        <w:right w:val="none" w:sz="0" w:space="0" w:color="auto"/>
      </w:divBdr>
      <w:divsChild>
        <w:div w:id="519439120">
          <w:marLeft w:val="360"/>
          <w:marRight w:val="0"/>
          <w:marTop w:val="200"/>
          <w:marBottom w:val="0"/>
          <w:divBdr>
            <w:top w:val="none" w:sz="0" w:space="0" w:color="auto"/>
            <w:left w:val="none" w:sz="0" w:space="0" w:color="auto"/>
            <w:bottom w:val="none" w:sz="0" w:space="0" w:color="auto"/>
            <w:right w:val="none" w:sz="0" w:space="0" w:color="auto"/>
          </w:divBdr>
        </w:div>
        <w:div w:id="628827661">
          <w:marLeft w:val="360"/>
          <w:marRight w:val="0"/>
          <w:marTop w:val="200"/>
          <w:marBottom w:val="0"/>
          <w:divBdr>
            <w:top w:val="none" w:sz="0" w:space="0" w:color="auto"/>
            <w:left w:val="none" w:sz="0" w:space="0" w:color="auto"/>
            <w:bottom w:val="none" w:sz="0" w:space="0" w:color="auto"/>
            <w:right w:val="none" w:sz="0" w:space="0" w:color="auto"/>
          </w:divBdr>
        </w:div>
        <w:div w:id="699863537">
          <w:marLeft w:val="360"/>
          <w:marRight w:val="0"/>
          <w:marTop w:val="200"/>
          <w:marBottom w:val="0"/>
          <w:divBdr>
            <w:top w:val="none" w:sz="0" w:space="0" w:color="auto"/>
            <w:left w:val="none" w:sz="0" w:space="0" w:color="auto"/>
            <w:bottom w:val="none" w:sz="0" w:space="0" w:color="auto"/>
            <w:right w:val="none" w:sz="0" w:space="0" w:color="auto"/>
          </w:divBdr>
        </w:div>
      </w:divsChild>
    </w:div>
    <w:div w:id="517891921">
      <w:bodyDiv w:val="1"/>
      <w:marLeft w:val="0"/>
      <w:marRight w:val="0"/>
      <w:marTop w:val="0"/>
      <w:marBottom w:val="0"/>
      <w:divBdr>
        <w:top w:val="none" w:sz="0" w:space="0" w:color="auto"/>
        <w:left w:val="none" w:sz="0" w:space="0" w:color="auto"/>
        <w:bottom w:val="none" w:sz="0" w:space="0" w:color="auto"/>
        <w:right w:val="none" w:sz="0" w:space="0" w:color="auto"/>
      </w:divBdr>
    </w:div>
    <w:div w:id="537353915">
      <w:bodyDiv w:val="1"/>
      <w:marLeft w:val="0"/>
      <w:marRight w:val="0"/>
      <w:marTop w:val="0"/>
      <w:marBottom w:val="0"/>
      <w:divBdr>
        <w:top w:val="none" w:sz="0" w:space="0" w:color="auto"/>
        <w:left w:val="none" w:sz="0" w:space="0" w:color="auto"/>
        <w:bottom w:val="none" w:sz="0" w:space="0" w:color="auto"/>
        <w:right w:val="none" w:sz="0" w:space="0" w:color="auto"/>
      </w:divBdr>
    </w:div>
    <w:div w:id="815948858">
      <w:bodyDiv w:val="1"/>
      <w:marLeft w:val="0"/>
      <w:marRight w:val="0"/>
      <w:marTop w:val="0"/>
      <w:marBottom w:val="0"/>
      <w:divBdr>
        <w:top w:val="none" w:sz="0" w:space="0" w:color="auto"/>
        <w:left w:val="none" w:sz="0" w:space="0" w:color="auto"/>
        <w:bottom w:val="none" w:sz="0" w:space="0" w:color="auto"/>
        <w:right w:val="none" w:sz="0" w:space="0" w:color="auto"/>
      </w:divBdr>
    </w:div>
    <w:div w:id="1027828563">
      <w:bodyDiv w:val="1"/>
      <w:marLeft w:val="0"/>
      <w:marRight w:val="0"/>
      <w:marTop w:val="0"/>
      <w:marBottom w:val="0"/>
      <w:divBdr>
        <w:top w:val="none" w:sz="0" w:space="0" w:color="auto"/>
        <w:left w:val="none" w:sz="0" w:space="0" w:color="auto"/>
        <w:bottom w:val="none" w:sz="0" w:space="0" w:color="auto"/>
        <w:right w:val="none" w:sz="0" w:space="0" w:color="auto"/>
      </w:divBdr>
      <w:divsChild>
        <w:div w:id="1006442990">
          <w:marLeft w:val="360"/>
          <w:marRight w:val="0"/>
          <w:marTop w:val="200"/>
          <w:marBottom w:val="0"/>
          <w:divBdr>
            <w:top w:val="none" w:sz="0" w:space="0" w:color="auto"/>
            <w:left w:val="none" w:sz="0" w:space="0" w:color="auto"/>
            <w:bottom w:val="none" w:sz="0" w:space="0" w:color="auto"/>
            <w:right w:val="none" w:sz="0" w:space="0" w:color="auto"/>
          </w:divBdr>
        </w:div>
        <w:div w:id="1124497854">
          <w:marLeft w:val="360"/>
          <w:marRight w:val="0"/>
          <w:marTop w:val="200"/>
          <w:marBottom w:val="0"/>
          <w:divBdr>
            <w:top w:val="none" w:sz="0" w:space="0" w:color="auto"/>
            <w:left w:val="none" w:sz="0" w:space="0" w:color="auto"/>
            <w:bottom w:val="none" w:sz="0" w:space="0" w:color="auto"/>
            <w:right w:val="none" w:sz="0" w:space="0" w:color="auto"/>
          </w:divBdr>
        </w:div>
        <w:div w:id="1783911806">
          <w:marLeft w:val="360"/>
          <w:marRight w:val="0"/>
          <w:marTop w:val="200"/>
          <w:marBottom w:val="0"/>
          <w:divBdr>
            <w:top w:val="none" w:sz="0" w:space="0" w:color="auto"/>
            <w:left w:val="none" w:sz="0" w:space="0" w:color="auto"/>
            <w:bottom w:val="none" w:sz="0" w:space="0" w:color="auto"/>
            <w:right w:val="none" w:sz="0" w:space="0" w:color="auto"/>
          </w:divBdr>
        </w:div>
      </w:divsChild>
    </w:div>
    <w:div w:id="1289777602">
      <w:bodyDiv w:val="1"/>
      <w:marLeft w:val="0"/>
      <w:marRight w:val="0"/>
      <w:marTop w:val="0"/>
      <w:marBottom w:val="0"/>
      <w:divBdr>
        <w:top w:val="none" w:sz="0" w:space="0" w:color="auto"/>
        <w:left w:val="none" w:sz="0" w:space="0" w:color="auto"/>
        <w:bottom w:val="none" w:sz="0" w:space="0" w:color="auto"/>
        <w:right w:val="none" w:sz="0" w:space="0" w:color="auto"/>
      </w:divBdr>
    </w:div>
    <w:div w:id="1418021667">
      <w:bodyDiv w:val="1"/>
      <w:marLeft w:val="0"/>
      <w:marRight w:val="0"/>
      <w:marTop w:val="0"/>
      <w:marBottom w:val="0"/>
      <w:divBdr>
        <w:top w:val="none" w:sz="0" w:space="0" w:color="auto"/>
        <w:left w:val="none" w:sz="0" w:space="0" w:color="auto"/>
        <w:bottom w:val="none" w:sz="0" w:space="0" w:color="auto"/>
        <w:right w:val="none" w:sz="0" w:space="0" w:color="auto"/>
      </w:divBdr>
      <w:divsChild>
        <w:div w:id="969091527">
          <w:marLeft w:val="360"/>
          <w:marRight w:val="0"/>
          <w:marTop w:val="200"/>
          <w:marBottom w:val="0"/>
          <w:divBdr>
            <w:top w:val="none" w:sz="0" w:space="0" w:color="auto"/>
            <w:left w:val="none" w:sz="0" w:space="0" w:color="auto"/>
            <w:bottom w:val="none" w:sz="0" w:space="0" w:color="auto"/>
            <w:right w:val="none" w:sz="0" w:space="0" w:color="auto"/>
          </w:divBdr>
        </w:div>
        <w:div w:id="2047559372">
          <w:marLeft w:val="360"/>
          <w:marRight w:val="0"/>
          <w:marTop w:val="200"/>
          <w:marBottom w:val="0"/>
          <w:divBdr>
            <w:top w:val="none" w:sz="0" w:space="0" w:color="auto"/>
            <w:left w:val="none" w:sz="0" w:space="0" w:color="auto"/>
            <w:bottom w:val="none" w:sz="0" w:space="0" w:color="auto"/>
            <w:right w:val="none" w:sz="0" w:space="0" w:color="auto"/>
          </w:divBdr>
        </w:div>
        <w:div w:id="2083017116">
          <w:marLeft w:val="360"/>
          <w:marRight w:val="0"/>
          <w:marTop w:val="200"/>
          <w:marBottom w:val="0"/>
          <w:divBdr>
            <w:top w:val="none" w:sz="0" w:space="0" w:color="auto"/>
            <w:left w:val="none" w:sz="0" w:space="0" w:color="auto"/>
            <w:bottom w:val="none" w:sz="0" w:space="0" w:color="auto"/>
            <w:right w:val="none" w:sz="0" w:space="0" w:color="auto"/>
          </w:divBdr>
        </w:div>
      </w:divsChild>
    </w:div>
    <w:div w:id="196819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8F5-74F3-4936-8B89-10F0227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Reuter</dc:creator>
  <cp:keywords/>
  <dc:description/>
  <cp:lastModifiedBy>Eileen Reilly</cp:lastModifiedBy>
  <cp:revision>4</cp:revision>
  <dcterms:created xsi:type="dcterms:W3CDTF">2025-11-11T16:35:00Z</dcterms:created>
  <dcterms:modified xsi:type="dcterms:W3CDTF">2025-11-11T17:31:00Z</dcterms:modified>
</cp:coreProperties>
</file>